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0783" w14:textId="5ECD3A4C" w:rsidR="00294ED7" w:rsidRPr="00294ED7" w:rsidRDefault="00294ED7" w:rsidP="007A65B9">
      <w:pPr>
        <w:suppressAutoHyphens/>
        <w:spacing w:after="0" w:line="240" w:lineRule="auto"/>
        <w:ind w:right="86"/>
        <w:jc w:val="center"/>
        <w:rPr>
          <w:rFonts w:ascii="Times New Roman" w:eastAsia="Calibri" w:hAnsi="Times New Roman" w:cs="Times New Roman"/>
          <w:b/>
          <w:spacing w:val="-2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>Transportation Specific Updates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 </w:t>
      </w:r>
      <w:r w:rsidR="007327D5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and Corrections 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to </w:t>
      </w:r>
    </w:p>
    <w:p w14:paraId="475903F5" w14:textId="314410DA" w:rsidR="00294ED7" w:rsidRPr="00294ED7" w:rsidRDefault="00294ED7" w:rsidP="00294ED7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Minnesota Tax Handbook</w:t>
      </w:r>
    </w:p>
    <w:p w14:paraId="3CF99FE7" w14:textId="2030D0EE" w:rsidR="00294ED7" w:rsidRPr="00294ED7" w:rsidRDefault="00294ED7" w:rsidP="00294ED7">
      <w:pPr>
        <w:tabs>
          <w:tab w:val="left" w:pos="5040"/>
        </w:tabs>
        <w:spacing w:after="1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This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transportation specific update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to the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Edition of the Minnesota Tax Handbook contains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notable clarifications to specific transportation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tax law changes enacted in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 or earlier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. Also included are the current rate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specifications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for the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transportation specific taxes that are addressed. </w:t>
      </w:r>
    </w:p>
    <w:p w14:paraId="4F7828D9" w14:textId="77777777" w:rsidR="00294ED7" w:rsidRPr="00294ED7" w:rsidRDefault="00294ED7" w:rsidP="00294ED7">
      <w:pPr>
        <w:tabs>
          <w:tab w:val="left" w:pos="5040"/>
        </w:tabs>
        <w:spacing w:after="3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The Minnesota Tax Handbook can be found on the Department of Revenue web site at:</w:t>
      </w:r>
    </w:p>
    <w:p w14:paraId="4FC3F50F" w14:textId="77777777" w:rsidR="00294ED7" w:rsidRPr="00294ED7" w:rsidRDefault="00294ED7" w:rsidP="00294ED7">
      <w:pPr>
        <w:tabs>
          <w:tab w:val="left" w:pos="5040"/>
        </w:tabs>
        <w:spacing w:after="9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hyperlink r:id="rId5" w:history="1">
        <w:r w:rsidRPr="00294ED7">
          <w:rPr>
            <w:rFonts w:ascii="Times New Roman" w:eastAsia="Times New Roman" w:hAnsi="Times New Roman" w:cs="Times New Roman"/>
            <w:color w:val="0070C0"/>
            <w:kern w:val="0"/>
            <w:sz w:val="16"/>
            <w:szCs w:val="16"/>
            <w:u w:val="single"/>
            <w14:ligatures w14:val="none"/>
          </w:rPr>
          <w:t>https://www.revenue.state.mn.us/minnesota-tax-handbooks</w:t>
        </w:r>
      </w:hyperlink>
    </w:p>
    <w:p w14:paraId="2B9D0D54" w14:textId="77777777" w:rsidR="00294ED7" w:rsidRPr="00294ED7" w:rsidRDefault="00294ED7" w:rsidP="00294ED7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Minnesota Department of Revenue</w:t>
      </w:r>
    </w:p>
    <w:p w14:paraId="431510EE" w14:textId="77777777" w:rsidR="00294ED7" w:rsidRPr="00294ED7" w:rsidRDefault="00294ED7" w:rsidP="00294ED7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Tax Research Division</w:t>
      </w:r>
    </w:p>
    <w:p w14:paraId="1A3743E5" w14:textId="0CEE21BF" w:rsidR="00294ED7" w:rsidRPr="00294ED7" w:rsidRDefault="00294ED7" w:rsidP="00294ED7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October</w:t>
      </w: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5</w:t>
      </w:r>
    </w:p>
    <w:p w14:paraId="55345BF7" w14:textId="77777777" w:rsidR="00294ED7" w:rsidRPr="00294ED7" w:rsidRDefault="00294ED7" w:rsidP="00294ED7">
      <w:pPr>
        <w:pBdr>
          <w:bottom w:val="single" w:sz="18" w:space="1" w:color="auto"/>
        </w:pBdr>
        <w:tabs>
          <w:tab w:val="left" w:pos="-720"/>
          <w:tab w:val="left" w:pos="5040"/>
        </w:tabs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12"/>
          <w:szCs w:val="18"/>
          <w14:ligatures w14:val="none"/>
        </w:rPr>
      </w:pPr>
    </w:p>
    <w:p w14:paraId="54B90046" w14:textId="4A98AD10" w:rsidR="00294ED7" w:rsidRPr="00294ED7" w:rsidRDefault="00294ED7" w:rsidP="00294ED7">
      <w:pPr>
        <w:tabs>
          <w:tab w:val="left" w:pos="-720"/>
          <w:tab w:val="left" w:pos="5040"/>
        </w:tabs>
        <w:suppressAutoHyphens/>
        <w:spacing w:before="30"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22"/>
          <w14:ligatures w14:val="none"/>
        </w:rPr>
      </w:pPr>
      <w:r w:rsidRPr="00294ED7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Major </w:t>
      </w:r>
      <w:r w:rsidR="000940F3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>Updates to Transportation Related Taxes</w:t>
      </w:r>
    </w:p>
    <w:p w14:paraId="7345B92F" w14:textId="77777777" w:rsidR="00294ED7" w:rsidRPr="00294ED7" w:rsidRDefault="00294ED7" w:rsidP="00294E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</w:pPr>
    </w:p>
    <w:p w14:paraId="54DE3DE1" w14:textId="47B1113D" w:rsidR="00294ED7" w:rsidRPr="00294ED7" w:rsidRDefault="00294ED7" w:rsidP="00294ED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Sales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5</w:t>
      </w:r>
    </w:p>
    <w:p w14:paraId="6CF8B9AD" w14:textId="414A86D0" w:rsidR="00294ED7" w:rsidRPr="00294ED7" w:rsidRDefault="00294ED7" w:rsidP="000940F3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Rate </w:t>
      </w:r>
      <w:r w:rsidR="00486B6A">
        <w:rPr>
          <w:rFonts w:ascii="Times New Roman" w:eastAsia="Calibri" w:hAnsi="Times New Roman" w:cs="Times New Roman"/>
          <w:kern w:val="0"/>
          <w:sz w:val="18"/>
          <w14:ligatures w14:val="none"/>
        </w:rPr>
        <w:t>changed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6.875% </w:t>
      </w:r>
      <w:r w:rsidR="007327D5">
        <w:rPr>
          <w:rFonts w:ascii="Times New Roman" w:eastAsia="Calibri" w:hAnsi="Times New Roman" w:cs="Times New Roman"/>
          <w:kern w:val="0"/>
          <w:sz w:val="18"/>
          <w14:ligatures w14:val="none"/>
        </w:rPr>
        <w:t>in 2023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.</w:t>
      </w:r>
    </w:p>
    <w:p w14:paraId="1CF812FE" w14:textId="5E6D927D" w:rsidR="00294ED7" w:rsidRPr="00294ED7" w:rsidRDefault="00294ED7" w:rsidP="00294ED7">
      <w:pPr>
        <w:numPr>
          <w:ilvl w:val="0"/>
          <w:numId w:val="3"/>
        </w:numPr>
        <w:spacing w:after="10" w:line="240" w:lineRule="auto"/>
        <w:ind w:left="720" w:hanging="18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Flat Taxes in </w:t>
      </w:r>
      <w:r w:rsidR="00486B6A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ieu of the 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:u w:val="single"/>
          <w14:ligatures w14:val="none"/>
        </w:rPr>
        <w:t>6.875%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(updated from the previously incorrect</w:t>
      </w:r>
      <w:r w:rsidR="000940F3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6.5% figure)</w:t>
      </w:r>
    </w:p>
    <w:p w14:paraId="73FD5889" w14:textId="77777777" w:rsidR="00294ED7" w:rsidRPr="00294ED7" w:rsidRDefault="00294ED7" w:rsidP="00294ED7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93A7DCC" w14:textId="6D70837A" w:rsidR="00294ED7" w:rsidRPr="00294ED7" w:rsidRDefault="00294ED7" w:rsidP="00294ED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Fuels Excise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 w:rsidR="000940F3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8</w:t>
      </w:r>
    </w:p>
    <w:p w14:paraId="33F8E908" w14:textId="5F7FE756" w:rsidR="00294ED7" w:rsidRPr="00294ED7" w:rsidRDefault="00294ED7" w:rsidP="00294ED7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="00791B5F">
        <w:rPr>
          <w:rFonts w:ascii="Times New Roman" w:eastAsia="Calibri" w:hAnsi="Times New Roman" w:cs="Times New Roman"/>
          <w:kern w:val="0"/>
          <w:sz w:val="18"/>
          <w14:ligatures w14:val="none"/>
        </w:rPr>
        <w:t>2023: T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ax</w:t>
      </w:r>
      <w:r w:rsidR="000940F3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rate indexed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the Minnesota Highway Construction Cost Index. </w:t>
      </w:r>
      <w:r w:rsidR="007327D5">
        <w:rPr>
          <w:rFonts w:ascii="Times New Roman" w:eastAsia="Calibri" w:hAnsi="Times New Roman" w:cs="Times New Roman"/>
          <w:kern w:val="0"/>
          <w:sz w:val="18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nnual change cannot exceed 3%.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</w:p>
    <w:p w14:paraId="7C6C44EB" w14:textId="77777777" w:rsidR="00294ED7" w:rsidRPr="00294ED7" w:rsidRDefault="00294ED7" w:rsidP="00294ED7">
      <w:pPr>
        <w:spacing w:after="10" w:line="240" w:lineRule="auto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747418BF" w14:textId="5E666E82" w:rsidR="00294ED7" w:rsidRPr="00294ED7" w:rsidRDefault="00294ED7" w:rsidP="00294ED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Registration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5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2</w:t>
      </w:r>
    </w:p>
    <w:p w14:paraId="24E65D23" w14:textId="4C1C3342" w:rsidR="00294ED7" w:rsidRPr="007327D5" w:rsidRDefault="007327D5" w:rsidP="007327D5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="000940F3"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>Tax</w:t>
      </w:r>
      <w:r w:rsidR="00294ED7"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on passenger vehicles increased to $10 plus 1.575% of base value. </w:t>
      </w:r>
    </w:p>
    <w:p w14:paraId="7D950D1E" w14:textId="4C6C2213" w:rsidR="007327D5" w:rsidRPr="007327D5" w:rsidRDefault="007327D5" w:rsidP="007327D5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>Depreciation schedule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and minimum tax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modified for passenger cars. </w:t>
      </w:r>
    </w:p>
    <w:p w14:paraId="66CD8601" w14:textId="77777777" w:rsidR="007327D5" w:rsidRDefault="007327D5" w:rsidP="007327D5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Depreciation schedule should now read as follows:</w:t>
      </w:r>
    </w:p>
    <w:p w14:paraId="3589E228" w14:textId="77777777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During the first year of vehicle life, upon 100 percent of the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price;</w:t>
      </w:r>
      <w:proofErr w:type="gramEnd"/>
    </w:p>
    <w:p w14:paraId="630DA7B5" w14:textId="72A09260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95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the second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7A9E1E5F" w14:textId="115F7662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90 percent</w:t>
      </w:r>
      <w:r w:rsidR="00791B5F" w:rsidRP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third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0EA5FC0E" w14:textId="6AE9C0F8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80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fourth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03645497" w14:textId="2B5DADBE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70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fifth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60E0A292" w14:textId="2FEF19AE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60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sixth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6A38F82E" w14:textId="0EE3332C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50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seventh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1ADB15D5" w14:textId="6CAE26E8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40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the eighth </w:t>
      </w:r>
      <w:proofErr w:type="gramStart"/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7A338007" w14:textId="55C377F1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25 percent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in </w:t>
      </w:r>
      <w:r w:rsid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the ninth year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; and</w:t>
      </w:r>
    </w:p>
    <w:p w14:paraId="64741CA1" w14:textId="77777777" w:rsidR="007327D5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tenth year, ten percent of the price.</w:t>
      </w:r>
    </w:p>
    <w:p w14:paraId="59E9ED38" w14:textId="5C22A4C3" w:rsidR="00A63940" w:rsidRDefault="007327D5" w:rsidP="007327D5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11</w:t>
      </w:r>
      <w:r w:rsidRPr="007327D5">
        <w:rPr>
          <w:rFonts w:ascii="Times New Roman" w:eastAsia="Times New Roman" w:hAnsi="Times New Roman" w:cs="Times New Roman"/>
          <w:kern w:val="0"/>
          <w:sz w:val="18"/>
          <w:szCs w:val="2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year and each succeeding year, the amount must be calculated as $20. </w:t>
      </w:r>
      <w:r w:rsidR="00294ED7"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73B35B4B" w14:textId="77777777" w:rsidR="007A65B9" w:rsidRDefault="007A65B9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08F30DD8" w14:textId="77777777" w:rsidR="00791B5F" w:rsidRDefault="00791B5F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8DDD526" w14:textId="77777777" w:rsidR="00791B5F" w:rsidRDefault="00791B5F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2C7D9EBF" w14:textId="77777777" w:rsidR="00791B5F" w:rsidRDefault="00791B5F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8503762" w14:textId="77777777" w:rsidR="00791B5F" w:rsidRDefault="00791B5F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748D9BA6" w14:textId="77777777" w:rsidR="00791B5F" w:rsidRPr="00294ED7" w:rsidRDefault="00791B5F" w:rsidP="00791B5F">
      <w:pPr>
        <w:suppressAutoHyphens/>
        <w:spacing w:after="0" w:line="240" w:lineRule="auto"/>
        <w:ind w:right="86"/>
        <w:jc w:val="center"/>
        <w:rPr>
          <w:rFonts w:ascii="Times New Roman" w:eastAsia="Calibri" w:hAnsi="Times New Roman" w:cs="Times New Roman"/>
          <w:b/>
          <w:spacing w:val="-2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>Transportation Specific Updates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and Corrections 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to </w:t>
      </w:r>
    </w:p>
    <w:p w14:paraId="77993653" w14:textId="77777777" w:rsidR="00791B5F" w:rsidRPr="00294ED7" w:rsidRDefault="00791B5F" w:rsidP="00791B5F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Minnesota Tax Handbook</w:t>
      </w:r>
    </w:p>
    <w:p w14:paraId="4BC5F447" w14:textId="77777777" w:rsidR="00791B5F" w:rsidRPr="00294ED7" w:rsidRDefault="00791B5F" w:rsidP="00791B5F">
      <w:pPr>
        <w:tabs>
          <w:tab w:val="left" w:pos="5040"/>
        </w:tabs>
        <w:spacing w:after="1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This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transportation specific update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to the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Edition of the Minnesota Tax Handbook contains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notable clarifications to specific transportation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tax law changes enacted in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 or earlier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. Also included are the current rate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specifications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for the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transportation specific taxes that are addressed. </w:t>
      </w:r>
    </w:p>
    <w:p w14:paraId="043937D1" w14:textId="77777777" w:rsidR="00791B5F" w:rsidRPr="00294ED7" w:rsidRDefault="00791B5F" w:rsidP="00791B5F">
      <w:pPr>
        <w:tabs>
          <w:tab w:val="left" w:pos="5040"/>
        </w:tabs>
        <w:spacing w:after="3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The Minnesota Tax Handbook can be found on the Department of Revenue web site at:</w:t>
      </w:r>
    </w:p>
    <w:p w14:paraId="221EEF3F" w14:textId="77777777" w:rsidR="00791B5F" w:rsidRPr="00294ED7" w:rsidRDefault="00791B5F" w:rsidP="00791B5F">
      <w:pPr>
        <w:tabs>
          <w:tab w:val="left" w:pos="5040"/>
        </w:tabs>
        <w:spacing w:after="9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hyperlink r:id="rId6" w:history="1">
        <w:r w:rsidRPr="00294ED7">
          <w:rPr>
            <w:rFonts w:ascii="Times New Roman" w:eastAsia="Times New Roman" w:hAnsi="Times New Roman" w:cs="Times New Roman"/>
            <w:color w:val="0070C0"/>
            <w:kern w:val="0"/>
            <w:sz w:val="16"/>
            <w:szCs w:val="16"/>
            <w:u w:val="single"/>
            <w14:ligatures w14:val="none"/>
          </w:rPr>
          <w:t>https://www.revenue.state.mn.us/minnesota-tax-handbooks</w:t>
        </w:r>
      </w:hyperlink>
    </w:p>
    <w:p w14:paraId="17CCFEB5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Minnesota Department of Revenue</w:t>
      </w:r>
    </w:p>
    <w:p w14:paraId="2E542FC9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Tax Research Division</w:t>
      </w:r>
    </w:p>
    <w:p w14:paraId="6EB9F72D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October</w:t>
      </w: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5</w:t>
      </w:r>
    </w:p>
    <w:p w14:paraId="6F4C6C49" w14:textId="77777777" w:rsidR="00791B5F" w:rsidRPr="00294ED7" w:rsidRDefault="00791B5F" w:rsidP="00791B5F">
      <w:pPr>
        <w:pBdr>
          <w:bottom w:val="single" w:sz="18" w:space="1" w:color="auto"/>
        </w:pBdr>
        <w:tabs>
          <w:tab w:val="left" w:pos="-720"/>
          <w:tab w:val="left" w:pos="5040"/>
        </w:tabs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12"/>
          <w:szCs w:val="18"/>
          <w14:ligatures w14:val="none"/>
        </w:rPr>
      </w:pPr>
    </w:p>
    <w:p w14:paraId="61E31EEF" w14:textId="77777777" w:rsidR="00791B5F" w:rsidRPr="00294ED7" w:rsidRDefault="00791B5F" w:rsidP="00791B5F">
      <w:pPr>
        <w:tabs>
          <w:tab w:val="left" w:pos="-720"/>
          <w:tab w:val="left" w:pos="5040"/>
        </w:tabs>
        <w:suppressAutoHyphens/>
        <w:spacing w:before="30"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22"/>
          <w14:ligatures w14:val="none"/>
        </w:rPr>
      </w:pPr>
      <w:r w:rsidRPr="00294ED7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Major </w:t>
      </w:r>
      <w:r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>Updates to Transportation Related Taxes</w:t>
      </w:r>
    </w:p>
    <w:p w14:paraId="61269EC0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</w:pPr>
    </w:p>
    <w:p w14:paraId="21A5031E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Sales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5</w:t>
      </w:r>
    </w:p>
    <w:p w14:paraId="527567CB" w14:textId="77777777" w:rsidR="00791B5F" w:rsidRPr="00294ED7" w:rsidRDefault="00791B5F" w:rsidP="00791B5F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Rate 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changed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6.875% 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in 2023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.</w:t>
      </w:r>
    </w:p>
    <w:p w14:paraId="7D1BC50A" w14:textId="77777777" w:rsidR="00791B5F" w:rsidRPr="00294ED7" w:rsidRDefault="00791B5F" w:rsidP="00791B5F">
      <w:pPr>
        <w:numPr>
          <w:ilvl w:val="0"/>
          <w:numId w:val="3"/>
        </w:numPr>
        <w:spacing w:after="10" w:line="240" w:lineRule="auto"/>
        <w:ind w:left="720" w:hanging="18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Flat Taxes in lieu of the 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:u w:val="single"/>
          <w14:ligatures w14:val="none"/>
        </w:rPr>
        <w:t>6.875%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(updated from the previously incorrect 6.5% figure)</w:t>
      </w:r>
    </w:p>
    <w:p w14:paraId="2D62F8DC" w14:textId="77777777" w:rsidR="00791B5F" w:rsidRPr="00294ED7" w:rsidRDefault="00791B5F" w:rsidP="00791B5F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48F1DCDF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Fuels Excise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8</w:t>
      </w:r>
    </w:p>
    <w:p w14:paraId="01B345C3" w14:textId="77777777" w:rsidR="00791B5F" w:rsidRPr="00294ED7" w:rsidRDefault="00791B5F" w:rsidP="00791B5F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2023: T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ax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rate indexed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the Minnesota Highway Construction Cost Index. Annual change cannot exceed 3%.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</w:p>
    <w:p w14:paraId="5587E8C9" w14:textId="77777777" w:rsidR="00791B5F" w:rsidRPr="00294ED7" w:rsidRDefault="00791B5F" w:rsidP="00791B5F">
      <w:pPr>
        <w:spacing w:after="10" w:line="240" w:lineRule="auto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59FA4189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Registration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5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2</w:t>
      </w:r>
    </w:p>
    <w:p w14:paraId="70B0FF6E" w14:textId="77777777" w:rsidR="00791B5F" w:rsidRPr="007327D5" w:rsidRDefault="00791B5F" w:rsidP="00791B5F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Tax on passenger vehicles increased to $10 plus 1.575% of base value. </w:t>
      </w:r>
    </w:p>
    <w:p w14:paraId="514416EC" w14:textId="77777777" w:rsidR="00791B5F" w:rsidRPr="007327D5" w:rsidRDefault="00791B5F" w:rsidP="00791B5F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>Depreciation schedule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and minimum tax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modified for passenger cars. </w:t>
      </w:r>
    </w:p>
    <w:p w14:paraId="3C302E3B" w14:textId="77777777" w:rsidR="00791B5F" w:rsidRDefault="00791B5F" w:rsidP="00791B5F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Depreciation schedule should now read as follows:</w:t>
      </w:r>
    </w:p>
    <w:p w14:paraId="1F6A66C0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During the first year of vehicle life, upon 100 percent of the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price;</w:t>
      </w:r>
      <w:proofErr w:type="gramEnd"/>
    </w:p>
    <w:p w14:paraId="4FF49B02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95 percent in the second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75EB6B99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90 percent</w:t>
      </w:r>
      <w:r w:rsidRP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in the third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638BBE8C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80 percent in the fourth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0319E558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70 percent in the fifth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13800457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60 percent in the sixth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313326E5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50 percent in the seventh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1267ECE5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40 percent in the eighth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37F7CE88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25 percent in the ninth year; and</w:t>
      </w:r>
    </w:p>
    <w:p w14:paraId="38BAF9DE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tenth year, ten percent of the price.</w:t>
      </w:r>
    </w:p>
    <w:p w14:paraId="781097E8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11</w:t>
      </w:r>
      <w:r w:rsidRPr="007327D5">
        <w:rPr>
          <w:rFonts w:ascii="Times New Roman" w:eastAsia="Times New Roman" w:hAnsi="Times New Roman" w:cs="Times New Roman"/>
          <w:kern w:val="0"/>
          <w:sz w:val="18"/>
          <w:szCs w:val="2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year and each succeeding year, the amount must be calculated as $20. 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2FA08C74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3D390AA5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611E4856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1B1834C6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05AB96CB" w14:textId="77777777" w:rsidR="007A65B9" w:rsidRDefault="007A65B9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6A3FE0DF" w14:textId="77777777" w:rsidR="00791B5F" w:rsidRPr="00294ED7" w:rsidRDefault="00791B5F" w:rsidP="00791B5F">
      <w:pPr>
        <w:suppressAutoHyphens/>
        <w:spacing w:after="0" w:line="240" w:lineRule="auto"/>
        <w:ind w:right="86"/>
        <w:jc w:val="center"/>
        <w:rPr>
          <w:rFonts w:ascii="Times New Roman" w:eastAsia="Calibri" w:hAnsi="Times New Roman" w:cs="Times New Roman"/>
          <w:b/>
          <w:spacing w:val="-2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>Transportation Specific Updates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and Corrections </w:t>
      </w:r>
      <w:r w:rsidRPr="00294ED7">
        <w:rPr>
          <w:rFonts w:ascii="Times New Roman" w:eastAsia="Calibri" w:hAnsi="Times New Roman" w:cs="Times New Roman"/>
          <w:b/>
          <w:kern w:val="0"/>
          <w:sz w:val="20"/>
          <w14:ligatures w14:val="none"/>
        </w:rPr>
        <w:t xml:space="preserve">to </w:t>
      </w:r>
    </w:p>
    <w:p w14:paraId="2FA2C2E6" w14:textId="77777777" w:rsidR="00791B5F" w:rsidRPr="00294ED7" w:rsidRDefault="00791B5F" w:rsidP="00791B5F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Minnesota Tax Handbook</w:t>
      </w:r>
    </w:p>
    <w:p w14:paraId="121BBD03" w14:textId="77777777" w:rsidR="00791B5F" w:rsidRPr="00294ED7" w:rsidRDefault="00791B5F" w:rsidP="00791B5F">
      <w:pPr>
        <w:tabs>
          <w:tab w:val="left" w:pos="5040"/>
        </w:tabs>
        <w:spacing w:after="1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This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transportation specific update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to the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Edition of the Minnesota Tax Handbook contains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notable clarifications to specific transportation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tax law changes enacted in 202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4 or earlier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. Also included are the current rate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specifications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for the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transportation specific taxes that are addressed. </w:t>
      </w:r>
    </w:p>
    <w:p w14:paraId="4D2ECC31" w14:textId="77777777" w:rsidR="00791B5F" w:rsidRPr="00294ED7" w:rsidRDefault="00791B5F" w:rsidP="00791B5F">
      <w:pPr>
        <w:tabs>
          <w:tab w:val="left" w:pos="5040"/>
        </w:tabs>
        <w:spacing w:after="3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The Minnesota Tax Handbook can be found on the Department of Revenue web site at:</w:t>
      </w:r>
    </w:p>
    <w:p w14:paraId="175C652C" w14:textId="77777777" w:rsidR="00791B5F" w:rsidRPr="00294ED7" w:rsidRDefault="00791B5F" w:rsidP="00791B5F">
      <w:pPr>
        <w:tabs>
          <w:tab w:val="left" w:pos="5040"/>
        </w:tabs>
        <w:spacing w:after="90" w:line="240" w:lineRule="auto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hyperlink r:id="rId7" w:history="1">
        <w:r w:rsidRPr="00294ED7">
          <w:rPr>
            <w:rFonts w:ascii="Times New Roman" w:eastAsia="Times New Roman" w:hAnsi="Times New Roman" w:cs="Times New Roman"/>
            <w:color w:val="0070C0"/>
            <w:kern w:val="0"/>
            <w:sz w:val="16"/>
            <w:szCs w:val="16"/>
            <w:u w:val="single"/>
            <w14:ligatures w14:val="none"/>
          </w:rPr>
          <w:t>https://www.revenue.state.mn.us/minnesota-tax-handbooks</w:t>
        </w:r>
      </w:hyperlink>
    </w:p>
    <w:p w14:paraId="4EA1F5A4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Minnesota Department of Revenue</w:t>
      </w:r>
    </w:p>
    <w:p w14:paraId="3659784F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Tax Research Division</w:t>
      </w:r>
    </w:p>
    <w:p w14:paraId="21693F79" w14:textId="77777777" w:rsidR="00791B5F" w:rsidRPr="00294ED7" w:rsidRDefault="00791B5F" w:rsidP="00791B5F">
      <w:pPr>
        <w:tabs>
          <w:tab w:val="center" w:pos="2160"/>
          <w:tab w:val="left" w:pos="50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October</w:t>
      </w:r>
      <w:r w:rsidRPr="00294ED7"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spacing w:val="-2"/>
          <w:kern w:val="0"/>
          <w:sz w:val="18"/>
          <w14:ligatures w14:val="none"/>
        </w:rPr>
        <w:t>5</w:t>
      </w:r>
    </w:p>
    <w:p w14:paraId="5DB4D774" w14:textId="77777777" w:rsidR="00791B5F" w:rsidRPr="00294ED7" w:rsidRDefault="00791B5F" w:rsidP="00791B5F">
      <w:pPr>
        <w:pBdr>
          <w:bottom w:val="single" w:sz="18" w:space="1" w:color="auto"/>
        </w:pBdr>
        <w:tabs>
          <w:tab w:val="left" w:pos="-720"/>
          <w:tab w:val="left" w:pos="5040"/>
        </w:tabs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kern w:val="0"/>
          <w:sz w:val="12"/>
          <w:szCs w:val="18"/>
          <w14:ligatures w14:val="none"/>
        </w:rPr>
      </w:pPr>
    </w:p>
    <w:p w14:paraId="7DBA5674" w14:textId="77777777" w:rsidR="00791B5F" w:rsidRPr="00294ED7" w:rsidRDefault="00791B5F" w:rsidP="00791B5F">
      <w:pPr>
        <w:tabs>
          <w:tab w:val="left" w:pos="-720"/>
          <w:tab w:val="left" w:pos="5040"/>
        </w:tabs>
        <w:suppressAutoHyphens/>
        <w:spacing w:before="30" w:after="6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22"/>
          <w14:ligatures w14:val="none"/>
        </w:rPr>
      </w:pPr>
      <w:r w:rsidRPr="00294ED7"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 xml:space="preserve">Major </w:t>
      </w:r>
      <w:r>
        <w:rPr>
          <w:rFonts w:ascii="Times New Roman" w:eastAsia="Calibri" w:hAnsi="Times New Roman" w:cs="Times New Roman"/>
          <w:b/>
          <w:kern w:val="0"/>
          <w:sz w:val="18"/>
          <w14:ligatures w14:val="none"/>
        </w:rPr>
        <w:t>Updates to Transportation Related Taxes</w:t>
      </w:r>
    </w:p>
    <w:p w14:paraId="70938DC2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</w:pPr>
    </w:p>
    <w:p w14:paraId="67B241C9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Sales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5</w:t>
      </w:r>
    </w:p>
    <w:p w14:paraId="3C92B507" w14:textId="77777777" w:rsidR="00791B5F" w:rsidRPr="00294ED7" w:rsidRDefault="00791B5F" w:rsidP="00791B5F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Rate 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changed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6.875% 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in 2023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.</w:t>
      </w:r>
    </w:p>
    <w:p w14:paraId="6337B4CB" w14:textId="77777777" w:rsidR="00791B5F" w:rsidRPr="00294ED7" w:rsidRDefault="00791B5F" w:rsidP="00791B5F">
      <w:pPr>
        <w:numPr>
          <w:ilvl w:val="0"/>
          <w:numId w:val="3"/>
        </w:numPr>
        <w:spacing w:after="10" w:line="240" w:lineRule="auto"/>
        <w:ind w:left="720" w:hanging="18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Flat Taxes in lieu of the 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:u w:val="single"/>
          <w14:ligatures w14:val="none"/>
        </w:rPr>
        <w:t>6.875%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(updated from the previously incorrect 6.5% figure)</w:t>
      </w:r>
    </w:p>
    <w:p w14:paraId="6B1FB51F" w14:textId="77777777" w:rsidR="00791B5F" w:rsidRPr="00294ED7" w:rsidRDefault="00791B5F" w:rsidP="00791B5F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3A745D40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Fuels Excise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2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8</w:t>
      </w:r>
    </w:p>
    <w:p w14:paraId="1D2A24D0" w14:textId="77777777" w:rsidR="00791B5F" w:rsidRPr="00294ED7" w:rsidRDefault="00791B5F" w:rsidP="00791B5F">
      <w:pPr>
        <w:spacing w:after="10" w:line="240" w:lineRule="auto"/>
        <w:ind w:left="720" w:hanging="27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 </w:t>
      </w:r>
      <w:r w:rsidRPr="00294ED7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>2023: T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ax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>rate indexed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to the Minnesota Highway Construction Cost Index. Annual change cannot exceed 3%.</w:t>
      </w:r>
      <w:r w:rsidRPr="00294ED7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</w:t>
      </w:r>
    </w:p>
    <w:p w14:paraId="74D2FAC1" w14:textId="77777777" w:rsidR="00791B5F" w:rsidRPr="00294ED7" w:rsidRDefault="00791B5F" w:rsidP="00791B5F">
      <w:pPr>
        <w:spacing w:after="10" w:line="240" w:lineRule="auto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</w:p>
    <w:p w14:paraId="5CEAAAFC" w14:textId="77777777" w:rsidR="00791B5F" w:rsidRPr="00294ED7" w:rsidRDefault="00791B5F" w:rsidP="00791B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 w:rsidRPr="00294ED7">
        <w:rPr>
          <w:rFonts w:ascii="Times New Roman" w:eastAsia="Calibri" w:hAnsi="Times New Roman" w:cs="Times New Roman"/>
          <w:b/>
          <w:bCs/>
          <w:kern w:val="0"/>
          <w:sz w:val="18"/>
          <w14:ligatures w14:val="none"/>
        </w:rPr>
        <w:t xml:space="preserve">Motor Vehicle Registration Tax </w:t>
      </w:r>
      <w:r w:rsidRPr="00294ED7">
        <w:rPr>
          <w:rFonts w:ascii="Times New Roman" w:eastAsia="Calibri" w:hAnsi="Times New Roman" w:cs="Times New Roman"/>
          <w:b/>
          <w:kern w:val="0"/>
          <w:sz w:val="12"/>
          <w:szCs w:val="12"/>
          <w14:ligatures w14:val="none"/>
        </w:rPr>
        <w:t xml:space="preserve">● </w:t>
      </w:r>
      <w:r w:rsidRPr="00294ED7"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Page 5</w:t>
      </w: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2</w:t>
      </w:r>
    </w:p>
    <w:p w14:paraId="31AE5C8A" w14:textId="77777777" w:rsidR="00791B5F" w:rsidRPr="007327D5" w:rsidRDefault="00791B5F" w:rsidP="00791B5F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Tax on passenger vehicles increased to $10 plus 1.575% of base value. </w:t>
      </w:r>
    </w:p>
    <w:p w14:paraId="0920EF8E" w14:textId="77777777" w:rsidR="00791B5F" w:rsidRPr="007327D5" w:rsidRDefault="00791B5F" w:rsidP="00791B5F">
      <w:pPr>
        <w:spacing w:after="10" w:line="240" w:lineRule="auto"/>
        <w:ind w:left="720" w:hanging="180"/>
        <w:jc w:val="both"/>
        <w:rPr>
          <w:rFonts w:ascii="Times New Roman" w:eastAsia="Calibri" w:hAnsi="Times New Roman" w:cs="Times New Roman"/>
          <w:kern w:val="0"/>
          <w:sz w:val="18"/>
          <w14:ligatures w14:val="none"/>
        </w:rPr>
      </w:pPr>
      <w:r w:rsidRPr="007327D5">
        <w:rPr>
          <w:rFonts w:ascii="Times New Roman" w:eastAsia="Calibri" w:hAnsi="Times New Roman" w:cs="Times New Roman"/>
          <w:spacing w:val="88"/>
          <w:kern w:val="0"/>
          <w:sz w:val="18"/>
          <w14:ligatures w14:val="none"/>
        </w:rPr>
        <w:t>−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>Depreciation schedule</w:t>
      </w:r>
      <w:r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and minimum tax</w:t>
      </w:r>
      <w:r w:rsidRPr="007327D5">
        <w:rPr>
          <w:rFonts w:ascii="Times New Roman" w:eastAsia="Calibri" w:hAnsi="Times New Roman" w:cs="Times New Roman"/>
          <w:kern w:val="0"/>
          <w:sz w:val="18"/>
          <w14:ligatures w14:val="none"/>
        </w:rPr>
        <w:t xml:space="preserve"> modified for passenger cars. </w:t>
      </w:r>
    </w:p>
    <w:p w14:paraId="4F92D0C2" w14:textId="77777777" w:rsidR="00791B5F" w:rsidRDefault="00791B5F" w:rsidP="00791B5F">
      <w:pPr>
        <w:spacing w:after="1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Depreciation schedule should now read as follows:</w:t>
      </w:r>
    </w:p>
    <w:p w14:paraId="4E5F88D4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During the first year of vehicle life, upon 100 percent of the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price;</w:t>
      </w:r>
      <w:proofErr w:type="gramEnd"/>
    </w:p>
    <w:p w14:paraId="42110B80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95 percent in the second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22F30937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90 percent</w:t>
      </w:r>
      <w:r w:rsidRPr="00791B5F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in the third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60B5430B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80 percent in the fourth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24D9E273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70 percent in the fifth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55D12D5E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60 percent in the sixth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54C655F3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50 percent in the seventh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57DC2D35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40 percent in the eighth </w:t>
      </w:r>
      <w:proofErr w:type="gramStart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year;</w:t>
      </w:r>
      <w:proofErr w:type="gramEnd"/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34BF339B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25 percent in the ninth year; and</w:t>
      </w:r>
    </w:p>
    <w:p w14:paraId="262B839F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tenth year, ten percent of the price.</w:t>
      </w:r>
    </w:p>
    <w:p w14:paraId="6E653B15" w14:textId="77777777" w:rsidR="00791B5F" w:rsidRDefault="00791B5F" w:rsidP="00791B5F">
      <w:pPr>
        <w:numPr>
          <w:ilvl w:val="1"/>
          <w:numId w:val="2"/>
        </w:num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>For the 11</w:t>
      </w:r>
      <w:r w:rsidRPr="007327D5">
        <w:rPr>
          <w:rFonts w:ascii="Times New Roman" w:eastAsia="Times New Roman" w:hAnsi="Times New Roman" w:cs="Times New Roman"/>
          <w:kern w:val="0"/>
          <w:sz w:val="18"/>
          <w:szCs w:val="2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year and each succeeding year, the amount must be calculated as $20. </w:t>
      </w:r>
      <w:r w:rsidRPr="00294ED7"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  <w:t xml:space="preserve"> </w:t>
      </w:r>
    </w:p>
    <w:p w14:paraId="3C988A0B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42F493C0" w14:textId="77777777" w:rsidR="00791B5F" w:rsidRDefault="00791B5F" w:rsidP="00791B5F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0B88AFB1" w14:textId="77777777" w:rsidR="007A65B9" w:rsidRPr="00294ED7" w:rsidRDefault="007A65B9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4E256666" w14:textId="77777777" w:rsidR="007A65B9" w:rsidRPr="00294ED7" w:rsidRDefault="007A65B9" w:rsidP="007A65B9">
      <w:pPr>
        <w:spacing w:after="1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sectPr w:rsidR="007A65B9" w:rsidRPr="00294ED7" w:rsidSect="007A65B9">
      <w:pgSz w:w="15840" w:h="12240" w:orient="landscape"/>
      <w:pgMar w:top="450" w:right="630" w:bottom="810" w:left="630" w:header="720" w:footer="720" w:gutter="0"/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2D30"/>
    <w:multiLevelType w:val="hybridMultilevel"/>
    <w:tmpl w:val="65606A3E"/>
    <w:lvl w:ilvl="0" w:tplc="253602D8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1293"/>
    <w:multiLevelType w:val="hybridMultilevel"/>
    <w:tmpl w:val="8B5E3024"/>
    <w:lvl w:ilvl="0" w:tplc="2FCC0B24">
      <w:start w:val="2019"/>
      <w:numFmt w:val="bullet"/>
      <w:lvlText w:val="–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67340B80"/>
    <w:multiLevelType w:val="hybridMultilevel"/>
    <w:tmpl w:val="D0E69B30"/>
    <w:lvl w:ilvl="0" w:tplc="2FCC0B24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2997"/>
    <w:multiLevelType w:val="hybridMultilevel"/>
    <w:tmpl w:val="8CE83F40"/>
    <w:lvl w:ilvl="0" w:tplc="2FCC0B24">
      <w:start w:val="20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5949">
    <w:abstractNumId w:val="3"/>
  </w:num>
  <w:num w:numId="2" w16cid:durableId="482435607">
    <w:abstractNumId w:val="2"/>
  </w:num>
  <w:num w:numId="3" w16cid:durableId="2107842964">
    <w:abstractNumId w:val="1"/>
  </w:num>
  <w:num w:numId="4" w16cid:durableId="190424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D7"/>
    <w:rsid w:val="000940F3"/>
    <w:rsid w:val="001A670E"/>
    <w:rsid w:val="00294ED7"/>
    <w:rsid w:val="003740C2"/>
    <w:rsid w:val="00486B6A"/>
    <w:rsid w:val="00624C1E"/>
    <w:rsid w:val="007327D5"/>
    <w:rsid w:val="00791B5F"/>
    <w:rsid w:val="007A65B9"/>
    <w:rsid w:val="00A31DCC"/>
    <w:rsid w:val="00A63940"/>
    <w:rsid w:val="00AD521F"/>
    <w:rsid w:val="00CB2AE9"/>
    <w:rsid w:val="00D6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2111"/>
  <w15:chartTrackingRefBased/>
  <w15:docId w15:val="{78005448-3CC9-4AFB-B53C-4113518A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ED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6B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2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enue.state.mn.us/minnesota-tax-handboo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venue.state.mn.us/minnesota-tax-handbooks" TargetMode="External"/><Relationship Id="rId5" Type="http://schemas.openxmlformats.org/officeDocument/2006/relationships/hyperlink" Target="https://www.revenue.state.mn.us/minnesota-tax-handboo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Durkot, Andrew D (He/Him/His) (MDOR)</dc:creator>
  <cp:keywords/>
  <dc:description/>
  <cp:lastModifiedBy>Durkot, Andrew D (He/Him/His) (MDOR)</cp:lastModifiedBy>
  <cp:revision>2</cp:revision>
  <dcterms:created xsi:type="dcterms:W3CDTF">2025-09-19T12:08:00Z</dcterms:created>
  <dcterms:modified xsi:type="dcterms:W3CDTF">2025-09-19T12:08:00Z</dcterms:modified>
</cp:coreProperties>
</file>