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5C05F" w14:textId="77777777" w:rsidR="00C72CA6" w:rsidRDefault="004C510E">
      <w:pPr>
        <w:tabs>
          <w:tab w:val="left" w:pos="7020"/>
          <w:tab w:val="left" w:pos="10620"/>
        </w:tabs>
        <w:ind w:right="-504"/>
        <w:rPr>
          <w:b/>
        </w:rPr>
        <w:sectPr w:rsidR="00C72CA6" w:rsidSect="003C75CF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990" w:right="1440" w:bottom="720" w:left="1440" w:header="360" w:footer="720" w:gutter="0"/>
          <w:pgNumType w:start="1"/>
          <w:cols w:space="720"/>
          <w:titlePg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63BE6E" wp14:editId="738D3D60">
            <wp:simplePos x="0" y="0"/>
            <wp:positionH relativeFrom="margin">
              <wp:posOffset>0</wp:posOffset>
            </wp:positionH>
            <wp:positionV relativeFrom="paragraph">
              <wp:posOffset>81915</wp:posOffset>
            </wp:positionV>
            <wp:extent cx="1847850" cy="376555"/>
            <wp:effectExtent l="0" t="0" r="0" b="444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venue-logo-grayscale-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1DA3F" w14:textId="2D655188" w:rsidR="00C1391B" w:rsidRDefault="000D4743" w:rsidP="003F384A">
      <w:pPr>
        <w:pStyle w:val="Heading3"/>
        <w:tabs>
          <w:tab w:val="left" w:pos="5850"/>
          <w:tab w:val="left" w:pos="5940"/>
          <w:tab w:val="left" w:pos="10620"/>
        </w:tabs>
      </w:pPr>
      <w:r>
        <w:t xml:space="preserve">                                         </w:t>
      </w:r>
      <w:r w:rsidR="00430832">
        <w:tab/>
      </w:r>
      <w:r w:rsidR="00307C19">
        <w:t>INDIVIDUAL INCOME TAX</w:t>
      </w:r>
      <w:r>
        <w:t xml:space="preserve"> </w:t>
      </w:r>
    </w:p>
    <w:p w14:paraId="659E85A4" w14:textId="6168F9EF" w:rsidR="000D4743" w:rsidRDefault="000D4743" w:rsidP="003F384A">
      <w:pPr>
        <w:pStyle w:val="Heading3"/>
        <w:tabs>
          <w:tab w:val="left" w:pos="5850"/>
          <w:tab w:val="left" w:pos="5940"/>
          <w:tab w:val="left" w:pos="10620"/>
        </w:tabs>
        <w:ind w:left="1440" w:right="-184"/>
      </w:pPr>
      <w:r>
        <w:t xml:space="preserve">                                         </w:t>
      </w:r>
      <w:r w:rsidR="00430832">
        <w:tab/>
      </w:r>
      <w:r w:rsidR="00307C19">
        <w:t xml:space="preserve">Childcare Professional Credit </w:t>
      </w:r>
    </w:p>
    <w:p w14:paraId="0D79CDDB" w14:textId="77777777" w:rsidR="006D5D4B" w:rsidRDefault="000D4743" w:rsidP="00430832">
      <w:pPr>
        <w:pStyle w:val="Heading3"/>
        <w:tabs>
          <w:tab w:val="left" w:pos="5850"/>
          <w:tab w:val="left" w:pos="10620"/>
        </w:tabs>
        <w:ind w:left="1440"/>
      </w:pPr>
      <w:r>
        <w:t xml:space="preserve">                                                                                                              </w:t>
      </w:r>
      <w:r w:rsidR="00430832">
        <w:t xml:space="preserve">                               </w:t>
      </w:r>
    </w:p>
    <w:p w14:paraId="14DB05E8" w14:textId="4899AEC7" w:rsidR="00C72CA6" w:rsidRDefault="000B72DB" w:rsidP="00F7029F">
      <w:pPr>
        <w:tabs>
          <w:tab w:val="left" w:pos="5760"/>
          <w:tab w:val="left" w:pos="10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788DA7" wp14:editId="07DF0A3A">
                <wp:simplePos x="0" y="0"/>
                <wp:positionH relativeFrom="column">
                  <wp:posOffset>3590925</wp:posOffset>
                </wp:positionH>
                <wp:positionV relativeFrom="paragraph">
                  <wp:posOffset>13335</wp:posOffset>
                </wp:positionV>
                <wp:extent cx="2714625" cy="586740"/>
                <wp:effectExtent l="0" t="0" r="9525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67"/>
                              <w:gridCol w:w="636"/>
                              <w:gridCol w:w="636"/>
                            </w:tblGrid>
                            <w:tr w:rsidR="00B834EA" w14:paraId="53A6C01A" w14:textId="77777777" w:rsidTr="003F384A">
                              <w:trPr>
                                <w:trHeight w:val="311"/>
                              </w:trPr>
                              <w:tc>
                                <w:tcPr>
                                  <w:tcW w:w="2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133F1A" w14:textId="77777777" w:rsidR="00B834EA" w:rsidRDefault="00B834EA" w:rsidP="00F9461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68B7A3" w14:textId="77777777" w:rsidR="00B834EA" w:rsidRDefault="00B834EA" w:rsidP="00F9461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59D756" w14:textId="77777777" w:rsidR="00B834EA" w:rsidRDefault="00B834EA" w:rsidP="00C248B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834EA" w14:paraId="0BA800E0" w14:textId="77777777" w:rsidTr="003F384A">
                              <w:trPr>
                                <w:trHeight w:val="420"/>
                              </w:trPr>
                              <w:tc>
                                <w:tcPr>
                                  <w:tcW w:w="2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2498AF" w14:textId="77777777" w:rsidR="00B834EA" w:rsidRPr="006E5B26" w:rsidRDefault="00B834E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6E5B26">
                                    <w:rPr>
                                      <w:b/>
                                      <w:sz w:val="18"/>
                                    </w:rPr>
                                    <w:t>DOR Administrative Costs/Savings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025959" w14:textId="77777777" w:rsidR="004A3502" w:rsidRDefault="004A350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72A9B20" w14:textId="009D6FDF" w:rsidR="00A46FBE" w:rsidRDefault="00A46FB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8DF4C3" w14:textId="77777777" w:rsidR="00B834EA" w:rsidRDefault="00B834E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8F3CA64" w14:textId="77777777" w:rsidR="00B834EA" w:rsidRDefault="00B834E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363ABC" w14:textId="77777777" w:rsidR="00B834EA" w:rsidRDefault="00B834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88D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75pt;margin-top:1.05pt;width:213.75pt;height:4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" o:allowincell="f" stroked="f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67"/>
                        <w:gridCol w:w="636"/>
                        <w:gridCol w:w="636"/>
                      </w:tblGrid>
                      <w:tr w:rsidR="00B834EA" w14:paraId="53A6C01A" w14:textId="77777777" w:rsidTr="003F384A">
                        <w:trPr>
                          <w:trHeight w:val="311"/>
                        </w:trPr>
                        <w:tc>
                          <w:tcPr>
                            <w:tcW w:w="2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133F1A" w14:textId="77777777" w:rsidR="00B834EA" w:rsidRDefault="00B834EA" w:rsidP="00F9461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68B7A3" w14:textId="77777777" w:rsidR="00B834EA" w:rsidRDefault="00B834EA" w:rsidP="00F9461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59D756" w14:textId="77777777" w:rsidR="00B834EA" w:rsidRDefault="00B834EA" w:rsidP="00C248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</w:p>
                        </w:tc>
                      </w:tr>
                      <w:tr w:rsidR="00B834EA" w14:paraId="0BA800E0" w14:textId="77777777" w:rsidTr="003F384A">
                        <w:trPr>
                          <w:trHeight w:val="420"/>
                        </w:trPr>
                        <w:tc>
                          <w:tcPr>
                            <w:tcW w:w="2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2498AF" w14:textId="77777777" w:rsidR="00B834EA" w:rsidRPr="006E5B26" w:rsidRDefault="00B834EA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6E5B26">
                              <w:rPr>
                                <w:b/>
                                <w:sz w:val="18"/>
                              </w:rPr>
                              <w:t>DOR Administrative Costs/Savings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025959" w14:textId="77777777" w:rsidR="004A3502" w:rsidRDefault="004A3502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72A9B20" w14:textId="009D6FDF" w:rsidR="00A46FBE" w:rsidRDefault="00A46FBE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8DF4C3" w14:textId="77777777" w:rsidR="00B834EA" w:rsidRDefault="00B834EA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8F3CA64" w14:textId="77777777" w:rsidR="00B834EA" w:rsidRDefault="00B834EA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7363ABC" w14:textId="77777777" w:rsidR="00B834EA" w:rsidRDefault="00B834EA"/>
                  </w:txbxContent>
                </v:textbox>
              </v:shape>
            </w:pict>
          </mc:Fallback>
        </mc:AlternateContent>
      </w:r>
      <w:r w:rsidR="00307C19">
        <w:t xml:space="preserve">April </w:t>
      </w:r>
      <w:r w:rsidR="005757DD">
        <w:t>9</w:t>
      </w:r>
      <w:r w:rsidR="00307C19">
        <w:t>, 2021</w:t>
      </w:r>
    </w:p>
    <w:p w14:paraId="317E435D" w14:textId="77777777" w:rsidR="00C72CA6" w:rsidRDefault="00C72CA6"/>
    <w:p w14:paraId="53EB1575" w14:textId="2B87D9F7" w:rsidR="00F7029F" w:rsidRPr="00750A6B" w:rsidRDefault="00750A6B">
      <w:pPr>
        <w:pStyle w:val="Header"/>
        <w:tabs>
          <w:tab w:val="clear" w:pos="4320"/>
          <w:tab w:val="clear" w:pos="8640"/>
        </w:tabs>
        <w:outlineLvl w:val="0"/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Revised to Correct Estimate</w:t>
      </w:r>
    </w:p>
    <w:p w14:paraId="1C9DF002" w14:textId="77777777" w:rsidR="00750A6B" w:rsidRDefault="00750A6B">
      <w:pPr>
        <w:pStyle w:val="Header"/>
        <w:tabs>
          <w:tab w:val="clear" w:pos="4320"/>
          <w:tab w:val="clear" w:pos="8640"/>
        </w:tabs>
        <w:outlineLvl w:val="0"/>
      </w:pPr>
    </w:p>
    <w:p w14:paraId="7CA31F10" w14:textId="77777777" w:rsidR="00C72CA6" w:rsidRDefault="00C72CA6">
      <w:pPr>
        <w:pStyle w:val="Header"/>
        <w:tabs>
          <w:tab w:val="clear" w:pos="4320"/>
          <w:tab w:val="clear" w:pos="8640"/>
        </w:tabs>
        <w:outlineLvl w:val="0"/>
      </w:pPr>
      <w:r>
        <w:t>Department of Revenue</w:t>
      </w:r>
    </w:p>
    <w:p w14:paraId="18EBA8CB" w14:textId="25D01F0D" w:rsidR="002D4A39" w:rsidRDefault="00C72CA6" w:rsidP="002D4A39">
      <w:pPr>
        <w:outlineLvl w:val="0"/>
      </w:pPr>
      <w:r>
        <w:t xml:space="preserve">Analysis </w:t>
      </w:r>
      <w:r w:rsidR="0042305B">
        <w:t xml:space="preserve">of </w:t>
      </w:r>
      <w:r w:rsidR="00A46FBE">
        <w:t>S.F. 934 (Nelson)</w:t>
      </w:r>
      <w:r w:rsidR="00C857B5">
        <w:t xml:space="preserve"> </w:t>
      </w:r>
      <w:r w:rsidR="00BE5F64">
        <w:t>A</w:t>
      </w:r>
      <w:r w:rsidR="00C857B5">
        <w:t xml:space="preserve">s </w:t>
      </w:r>
      <w:r w:rsidR="00BE5F64">
        <w:t>P</w:t>
      </w:r>
      <w:r w:rsidR="00C857B5">
        <w:t xml:space="preserve">roposed to be </w:t>
      </w:r>
      <w:r w:rsidR="00BE5F64">
        <w:t>A</w:t>
      </w:r>
      <w:r w:rsidR="00C857B5">
        <w:t xml:space="preserve">mended </w:t>
      </w:r>
      <w:r w:rsidR="00BE5F64">
        <w:t>(SCS0934A-1)</w:t>
      </w:r>
    </w:p>
    <w:p w14:paraId="3C43FAE2" w14:textId="77777777" w:rsidR="00BE5F64" w:rsidRDefault="00BE5F64" w:rsidP="002D4A39">
      <w:pPr>
        <w:outlineLvl w:val="0"/>
      </w:pPr>
    </w:p>
    <w:p w14:paraId="23B73084" w14:textId="77777777" w:rsidR="00C72CA6" w:rsidRDefault="00C72CA6" w:rsidP="009D247B">
      <w:pPr>
        <w:tabs>
          <w:tab w:val="left" w:pos="4320"/>
          <w:tab w:val="left" w:pos="5760"/>
          <w:tab w:val="right" w:pos="9630"/>
          <w:tab w:val="left" w:pos="10620"/>
        </w:tabs>
        <w:outlineLvl w:val="0"/>
      </w:pPr>
      <w:r>
        <w:tab/>
      </w:r>
      <w:r>
        <w:rPr>
          <w:u w:val="single"/>
        </w:rPr>
        <w:tab/>
      </w:r>
      <w:r w:rsidR="0071011E">
        <w:rPr>
          <w:u w:val="single"/>
        </w:rPr>
        <w:t xml:space="preserve">        </w:t>
      </w:r>
      <w:r w:rsidR="0071011E">
        <w:rPr>
          <w:b/>
          <w:u w:val="single"/>
        </w:rPr>
        <w:t>Fund Impact</w:t>
      </w:r>
      <w:r>
        <w:rPr>
          <w:b/>
          <w:u w:val="single"/>
        </w:rPr>
        <w:tab/>
      </w:r>
    </w:p>
    <w:p w14:paraId="45CCF758" w14:textId="77777777" w:rsidR="00C72CA6" w:rsidRDefault="00C72CA6">
      <w:pPr>
        <w:tabs>
          <w:tab w:val="left" w:pos="540"/>
          <w:tab w:val="left" w:pos="3060"/>
          <w:tab w:val="left" w:pos="4320"/>
          <w:tab w:val="left" w:pos="5760"/>
          <w:tab w:val="left" w:pos="7200"/>
          <w:tab w:val="left" w:pos="8640"/>
          <w:tab w:val="left" w:pos="9360"/>
        </w:tabs>
      </w:pPr>
      <w:r>
        <w:tab/>
      </w:r>
      <w:r>
        <w:tab/>
      </w:r>
      <w:r>
        <w:rPr>
          <w:b/>
        </w:rPr>
        <w:tab/>
      </w:r>
      <w:r>
        <w:rPr>
          <w:b/>
          <w:u w:val="single"/>
        </w:rPr>
        <w:t>F.Y. 20</w:t>
      </w:r>
      <w:r w:rsidR="00DC3EBA">
        <w:rPr>
          <w:b/>
          <w:u w:val="single"/>
        </w:rPr>
        <w:t>2</w:t>
      </w:r>
      <w:r w:rsidR="00226006">
        <w:rPr>
          <w:b/>
          <w:u w:val="single"/>
        </w:rPr>
        <w:t>2</w:t>
      </w:r>
      <w:r>
        <w:rPr>
          <w:b/>
        </w:rPr>
        <w:tab/>
      </w:r>
      <w:r>
        <w:rPr>
          <w:b/>
          <w:u w:val="single"/>
        </w:rPr>
        <w:t>F.Y. 20</w:t>
      </w:r>
      <w:r w:rsidR="00DC3EBA">
        <w:rPr>
          <w:b/>
          <w:u w:val="single"/>
        </w:rPr>
        <w:t>2</w:t>
      </w:r>
      <w:r w:rsidR="00226006">
        <w:rPr>
          <w:b/>
          <w:u w:val="single"/>
        </w:rPr>
        <w:t>3</w:t>
      </w:r>
      <w:r>
        <w:rPr>
          <w:b/>
        </w:rPr>
        <w:tab/>
      </w:r>
      <w:r>
        <w:rPr>
          <w:b/>
          <w:u w:val="single"/>
        </w:rPr>
        <w:t>F.Y. 20</w:t>
      </w:r>
      <w:r w:rsidR="00FD12C9">
        <w:rPr>
          <w:b/>
          <w:u w:val="single"/>
        </w:rPr>
        <w:t>2</w:t>
      </w:r>
      <w:r w:rsidR="00226006">
        <w:rPr>
          <w:b/>
          <w:u w:val="single"/>
        </w:rPr>
        <w:t>4</w:t>
      </w:r>
      <w:r>
        <w:rPr>
          <w:b/>
        </w:rPr>
        <w:tab/>
      </w:r>
      <w:r>
        <w:rPr>
          <w:b/>
          <w:u w:val="single"/>
        </w:rPr>
        <w:t>F.Y. 20</w:t>
      </w:r>
      <w:r w:rsidR="00FD12C9">
        <w:rPr>
          <w:b/>
          <w:u w:val="single"/>
        </w:rPr>
        <w:t>2</w:t>
      </w:r>
      <w:r w:rsidR="00226006">
        <w:rPr>
          <w:b/>
          <w:u w:val="single"/>
        </w:rPr>
        <w:t>5</w:t>
      </w:r>
    </w:p>
    <w:p w14:paraId="6339B811" w14:textId="77777777" w:rsidR="00C72CA6" w:rsidRDefault="00C72CA6">
      <w:pPr>
        <w:tabs>
          <w:tab w:val="left" w:pos="6660"/>
        </w:tabs>
        <w:rPr>
          <w:b/>
        </w:rPr>
      </w:pPr>
      <w:r>
        <w:rPr>
          <w:b/>
        </w:rPr>
        <w:tab/>
      </w:r>
      <w:r>
        <w:t>(000’s)</w:t>
      </w:r>
    </w:p>
    <w:p w14:paraId="385760DB" w14:textId="6256A0C1" w:rsidR="00681EB8" w:rsidRDefault="00307DDF" w:rsidP="00E93F2A">
      <w:pPr>
        <w:pStyle w:val="Header"/>
        <w:tabs>
          <w:tab w:val="clear" w:pos="4320"/>
          <w:tab w:val="clear" w:pos="8640"/>
          <w:tab w:val="left" w:pos="360"/>
          <w:tab w:val="right" w:pos="5310"/>
          <w:tab w:val="right" w:pos="6750"/>
          <w:tab w:val="right" w:pos="8190"/>
          <w:tab w:val="right" w:pos="9576"/>
          <w:tab w:val="left" w:pos="10350"/>
          <w:tab w:val="left" w:pos="10530"/>
        </w:tabs>
      </w:pPr>
      <w:r>
        <w:t>General Fund</w:t>
      </w:r>
      <w:r w:rsidR="00E51CAE">
        <w:tab/>
      </w:r>
      <w:r w:rsidR="00750A6B">
        <w:t>(</w:t>
      </w:r>
      <w:r w:rsidR="00E51CAE">
        <w:t>$9,</w:t>
      </w:r>
      <w:r w:rsidR="00C857B5">
        <w:t>6</w:t>
      </w:r>
      <w:r w:rsidR="00E51CAE">
        <w:t>00</w:t>
      </w:r>
      <w:r w:rsidR="00750A6B">
        <w:t>)</w:t>
      </w:r>
      <w:r w:rsidR="00E51CAE">
        <w:tab/>
      </w:r>
      <w:r w:rsidR="00750A6B">
        <w:t>(</w:t>
      </w:r>
      <w:r w:rsidR="00E51CAE">
        <w:t>$20,300</w:t>
      </w:r>
      <w:r w:rsidR="00750A6B">
        <w:t>)</w:t>
      </w:r>
      <w:r w:rsidR="00E51CAE">
        <w:tab/>
      </w:r>
      <w:r w:rsidR="00750A6B">
        <w:t>(</w:t>
      </w:r>
      <w:r w:rsidR="00E51CAE">
        <w:t>$31,300</w:t>
      </w:r>
      <w:r w:rsidR="00750A6B">
        <w:t>)</w:t>
      </w:r>
      <w:r w:rsidR="00E51CAE">
        <w:tab/>
      </w:r>
      <w:r w:rsidR="00750A6B">
        <w:t>(</w:t>
      </w:r>
      <w:r w:rsidR="00E51CAE">
        <w:t>$32,</w:t>
      </w:r>
      <w:r w:rsidR="00C857B5">
        <w:t>3</w:t>
      </w:r>
      <w:r w:rsidR="00E51CAE">
        <w:t>00</w:t>
      </w:r>
      <w:r w:rsidR="00750A6B">
        <w:t>)</w:t>
      </w:r>
      <w:r w:rsidR="00D31BB5">
        <w:t xml:space="preserve">  </w:t>
      </w:r>
    </w:p>
    <w:p w14:paraId="0B2B94FE" w14:textId="77777777" w:rsidR="00E93F2A" w:rsidRDefault="00E93F2A" w:rsidP="00E93F2A">
      <w:pPr>
        <w:pStyle w:val="Header"/>
        <w:tabs>
          <w:tab w:val="clear" w:pos="4320"/>
          <w:tab w:val="clear" w:pos="8640"/>
          <w:tab w:val="left" w:pos="360"/>
          <w:tab w:val="right" w:pos="5310"/>
          <w:tab w:val="right" w:pos="6750"/>
          <w:tab w:val="right" w:pos="8190"/>
          <w:tab w:val="right" w:pos="9576"/>
          <w:tab w:val="left" w:pos="10350"/>
          <w:tab w:val="left" w:pos="10530"/>
        </w:tabs>
      </w:pPr>
    </w:p>
    <w:p w14:paraId="21FF892D" w14:textId="77777777" w:rsidR="00E93F2A" w:rsidRDefault="00E93F2A" w:rsidP="00E93F2A">
      <w:pPr>
        <w:pStyle w:val="Header"/>
        <w:tabs>
          <w:tab w:val="clear" w:pos="4320"/>
          <w:tab w:val="clear" w:pos="8640"/>
          <w:tab w:val="left" w:pos="360"/>
          <w:tab w:val="right" w:pos="5310"/>
          <w:tab w:val="right" w:pos="6750"/>
          <w:tab w:val="right" w:pos="8190"/>
          <w:tab w:val="right" w:pos="9576"/>
          <w:tab w:val="left" w:pos="10350"/>
          <w:tab w:val="left" w:pos="10530"/>
        </w:tabs>
        <w:sectPr w:rsidR="00E93F2A" w:rsidSect="00644D2C">
          <w:headerReference w:type="even" r:id="rId12"/>
          <w:headerReference w:type="default" r:id="rId13"/>
          <w:headerReference w:type="first" r:id="rId14"/>
          <w:type w:val="continuous"/>
          <w:pgSz w:w="12240" w:h="15840" w:code="1"/>
          <w:pgMar w:top="1440" w:right="1080" w:bottom="1440" w:left="1440" w:header="720" w:footer="720" w:gutter="0"/>
          <w:cols w:space="720"/>
          <w:titlePg/>
        </w:sectPr>
      </w:pPr>
    </w:p>
    <w:p w14:paraId="633E3FF6" w14:textId="3E15DC27" w:rsidR="008759D9" w:rsidRDefault="008759D9" w:rsidP="0067194A">
      <w:pPr>
        <w:pStyle w:val="Header"/>
        <w:tabs>
          <w:tab w:val="clear" w:pos="4320"/>
          <w:tab w:val="clear" w:pos="8640"/>
          <w:tab w:val="left" w:pos="360"/>
          <w:tab w:val="right" w:pos="4050"/>
          <w:tab w:val="right" w:pos="5310"/>
          <w:tab w:val="right" w:pos="6570"/>
          <w:tab w:val="right" w:pos="7830"/>
          <w:tab w:val="right" w:pos="9090"/>
          <w:tab w:val="right" w:pos="10350"/>
        </w:tabs>
      </w:pPr>
      <w:r w:rsidRPr="008759D9">
        <w:t>Effective</w:t>
      </w:r>
      <w:r w:rsidR="00734BAF">
        <w:t xml:space="preserve"> </w:t>
      </w:r>
      <w:r w:rsidR="00307C19">
        <w:t>beginning tax year 2021.</w:t>
      </w:r>
    </w:p>
    <w:p w14:paraId="6628BE8B" w14:textId="77777777" w:rsidR="0067194A" w:rsidRPr="0067194A" w:rsidRDefault="0067194A" w:rsidP="0067194A">
      <w:pPr>
        <w:pStyle w:val="Header"/>
        <w:tabs>
          <w:tab w:val="clear" w:pos="4320"/>
          <w:tab w:val="clear" w:pos="8640"/>
          <w:tab w:val="left" w:pos="360"/>
          <w:tab w:val="right" w:pos="4050"/>
          <w:tab w:val="right" w:pos="5310"/>
          <w:tab w:val="right" w:pos="6570"/>
          <w:tab w:val="right" w:pos="7830"/>
          <w:tab w:val="right" w:pos="9090"/>
          <w:tab w:val="right" w:pos="10350"/>
        </w:tabs>
      </w:pPr>
    </w:p>
    <w:p w14:paraId="4422D634" w14:textId="77777777" w:rsidR="00C72CA6" w:rsidRDefault="00430832" w:rsidP="00B93A98">
      <w:pPr>
        <w:outlineLvl w:val="0"/>
        <w:rPr>
          <w:b/>
        </w:rPr>
      </w:pPr>
      <w:r>
        <w:rPr>
          <w:b/>
        </w:rPr>
        <w:t>EXPLANATION OF THE BILL</w:t>
      </w:r>
    </w:p>
    <w:p w14:paraId="07805E76" w14:textId="77777777" w:rsidR="001443CF" w:rsidRDefault="001443CF" w:rsidP="001443CF">
      <w:pPr>
        <w:rPr>
          <w:b/>
        </w:rPr>
      </w:pPr>
    </w:p>
    <w:p w14:paraId="0B3612A4" w14:textId="245F934D" w:rsidR="00307C19" w:rsidRDefault="00430832" w:rsidP="00307C19">
      <w:r w:rsidRPr="00430832">
        <w:rPr>
          <w:b/>
        </w:rPr>
        <w:t>Proposed Law:</w:t>
      </w:r>
      <w:r w:rsidR="00307C19">
        <w:rPr>
          <w:b/>
        </w:rPr>
        <w:t xml:space="preserve"> </w:t>
      </w:r>
      <w:r w:rsidR="00307C19">
        <w:t xml:space="preserve">The bill creates a new refundable </w:t>
      </w:r>
      <w:r w:rsidR="00727956">
        <w:t xml:space="preserve">income </w:t>
      </w:r>
      <w:r w:rsidR="00307C19">
        <w:t>tax credit for childcare professionals.</w:t>
      </w:r>
    </w:p>
    <w:p w14:paraId="3475CF7B" w14:textId="77777777" w:rsidR="00307C19" w:rsidRDefault="00307C19" w:rsidP="00307C19">
      <w:r>
        <w:t xml:space="preserve"> </w:t>
      </w:r>
    </w:p>
    <w:p w14:paraId="26A57A7A" w14:textId="1BB953DB" w:rsidR="00307C19" w:rsidRDefault="00307C19" w:rsidP="00307C19">
      <w:r>
        <w:t>Eligible childcare professionals may claim a credit against the individual income tax.  The amount of credit depends on the career lattice step of the professional and is indexed for inflation annually with 202</w:t>
      </w:r>
      <w:r w:rsidR="00C857B5">
        <w:t>1</w:t>
      </w:r>
      <w:r>
        <w:t xml:space="preserve"> as the statutory year. The tax year 202</w:t>
      </w:r>
      <w:r w:rsidR="00C857B5">
        <w:t>1</w:t>
      </w:r>
      <w:r>
        <w:t xml:space="preserve"> credit amounts are as follows:</w:t>
      </w:r>
    </w:p>
    <w:p w14:paraId="3558572A" w14:textId="77777777" w:rsidR="00307C19" w:rsidRDefault="00307C19" w:rsidP="00307C1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1"/>
        <w:gridCol w:w="1711"/>
        <w:gridCol w:w="1726"/>
        <w:gridCol w:w="1726"/>
      </w:tblGrid>
      <w:tr w:rsidR="00307C19" w14:paraId="38E64D47" w14:textId="77777777" w:rsidTr="00AA3EC7">
        <w:trPr>
          <w:jc w:val="center"/>
        </w:trPr>
        <w:tc>
          <w:tcPr>
            <w:tcW w:w="1741" w:type="dxa"/>
          </w:tcPr>
          <w:p w14:paraId="1914AC9E" w14:textId="77777777" w:rsidR="00307C19" w:rsidRDefault="00307C19" w:rsidP="00AA3EC7">
            <w:pPr>
              <w:pStyle w:val="ListParagraph"/>
              <w:ind w:left="0"/>
            </w:pPr>
          </w:p>
        </w:tc>
        <w:tc>
          <w:tcPr>
            <w:tcW w:w="1711" w:type="dxa"/>
          </w:tcPr>
          <w:p w14:paraId="492EF261" w14:textId="77777777" w:rsidR="00307C19" w:rsidRDefault="00307C19" w:rsidP="00AA3EC7">
            <w:pPr>
              <w:pStyle w:val="ListParagraph"/>
              <w:ind w:left="0"/>
              <w:jc w:val="center"/>
            </w:pPr>
            <w:r>
              <w:t xml:space="preserve">Development Associate </w:t>
            </w:r>
          </w:p>
          <w:p w14:paraId="291549EF" w14:textId="77777777" w:rsidR="00307C19" w:rsidRDefault="00307C19" w:rsidP="00AA3EC7">
            <w:pPr>
              <w:pStyle w:val="ListParagraph"/>
              <w:ind w:left="0"/>
              <w:jc w:val="center"/>
            </w:pPr>
            <w:r>
              <w:t>(steps 6-8)</w:t>
            </w:r>
          </w:p>
        </w:tc>
        <w:tc>
          <w:tcPr>
            <w:tcW w:w="1726" w:type="dxa"/>
          </w:tcPr>
          <w:p w14:paraId="30C20F5F" w14:textId="77777777" w:rsidR="00307C19" w:rsidRDefault="00307C19" w:rsidP="00AA3EC7">
            <w:pPr>
              <w:pStyle w:val="ListParagraph"/>
              <w:ind w:left="0"/>
              <w:jc w:val="center"/>
            </w:pPr>
            <w:r>
              <w:t xml:space="preserve">Associate’s </w:t>
            </w:r>
          </w:p>
          <w:p w14:paraId="1FD4762C" w14:textId="77777777" w:rsidR="00307C19" w:rsidRDefault="00307C19" w:rsidP="00AA3EC7">
            <w:pPr>
              <w:pStyle w:val="ListParagraph"/>
              <w:ind w:left="0"/>
              <w:jc w:val="center"/>
            </w:pPr>
            <w:r>
              <w:t>degree</w:t>
            </w:r>
          </w:p>
          <w:p w14:paraId="34C6347A" w14:textId="77777777" w:rsidR="00307C19" w:rsidRDefault="00307C19" w:rsidP="00AA3EC7">
            <w:pPr>
              <w:pStyle w:val="ListParagraph"/>
              <w:ind w:left="0"/>
              <w:jc w:val="center"/>
            </w:pPr>
            <w:r>
              <w:t>(step 9)</w:t>
            </w:r>
          </w:p>
        </w:tc>
        <w:tc>
          <w:tcPr>
            <w:tcW w:w="1726" w:type="dxa"/>
          </w:tcPr>
          <w:p w14:paraId="32D7F287" w14:textId="77777777" w:rsidR="00307C19" w:rsidRDefault="00307C19" w:rsidP="00AA3EC7">
            <w:pPr>
              <w:pStyle w:val="ListParagraph"/>
              <w:ind w:left="0"/>
              <w:jc w:val="center"/>
            </w:pPr>
            <w:r>
              <w:t xml:space="preserve">Bachelor’s </w:t>
            </w:r>
          </w:p>
          <w:p w14:paraId="21800674" w14:textId="77777777" w:rsidR="00307C19" w:rsidRDefault="00307C19" w:rsidP="00AA3EC7">
            <w:pPr>
              <w:pStyle w:val="ListParagraph"/>
              <w:ind w:left="0"/>
              <w:jc w:val="center"/>
            </w:pPr>
            <w:r>
              <w:t>degree</w:t>
            </w:r>
          </w:p>
          <w:p w14:paraId="478448B6" w14:textId="77777777" w:rsidR="00307C19" w:rsidRDefault="00307C19" w:rsidP="00AA3EC7">
            <w:pPr>
              <w:pStyle w:val="ListParagraph"/>
              <w:ind w:left="0"/>
              <w:jc w:val="center"/>
            </w:pPr>
            <w:r>
              <w:t>(step 10)</w:t>
            </w:r>
          </w:p>
        </w:tc>
      </w:tr>
      <w:tr w:rsidR="00307C19" w14:paraId="59470D2D" w14:textId="77777777" w:rsidTr="00AA3EC7">
        <w:trPr>
          <w:jc w:val="center"/>
        </w:trPr>
        <w:tc>
          <w:tcPr>
            <w:tcW w:w="1741" w:type="dxa"/>
          </w:tcPr>
          <w:p w14:paraId="762F6A7E" w14:textId="77777777" w:rsidR="00307C19" w:rsidRDefault="00307C19" w:rsidP="00AA3EC7">
            <w:pPr>
              <w:pStyle w:val="ListParagraph"/>
              <w:ind w:left="0"/>
            </w:pPr>
            <w:r>
              <w:t>Credit Amount</w:t>
            </w:r>
          </w:p>
        </w:tc>
        <w:tc>
          <w:tcPr>
            <w:tcW w:w="1711" w:type="dxa"/>
          </w:tcPr>
          <w:p w14:paraId="14154B7A" w14:textId="77777777" w:rsidR="00307C19" w:rsidRDefault="00307C19" w:rsidP="00AA3EC7">
            <w:pPr>
              <w:pStyle w:val="ListParagraph"/>
              <w:ind w:left="0"/>
              <w:jc w:val="center"/>
            </w:pPr>
            <w:r>
              <w:t>$1,000</w:t>
            </w:r>
          </w:p>
        </w:tc>
        <w:tc>
          <w:tcPr>
            <w:tcW w:w="1726" w:type="dxa"/>
          </w:tcPr>
          <w:p w14:paraId="0FFD49C9" w14:textId="77777777" w:rsidR="00307C19" w:rsidRDefault="00307C19" w:rsidP="00AA3EC7">
            <w:pPr>
              <w:pStyle w:val="ListParagraph"/>
              <w:ind w:left="0"/>
              <w:jc w:val="center"/>
            </w:pPr>
            <w:r>
              <w:t>$2,500</w:t>
            </w:r>
          </w:p>
        </w:tc>
        <w:tc>
          <w:tcPr>
            <w:tcW w:w="1726" w:type="dxa"/>
          </w:tcPr>
          <w:p w14:paraId="03045BEC" w14:textId="77777777" w:rsidR="00307C19" w:rsidRDefault="00307C19" w:rsidP="00AA3EC7">
            <w:pPr>
              <w:pStyle w:val="ListParagraph"/>
              <w:ind w:left="0"/>
              <w:jc w:val="center"/>
            </w:pPr>
            <w:r>
              <w:t>$3,000</w:t>
            </w:r>
          </w:p>
        </w:tc>
      </w:tr>
    </w:tbl>
    <w:p w14:paraId="15D16A25" w14:textId="77777777" w:rsidR="00307C19" w:rsidRDefault="00307C19" w:rsidP="00307C19"/>
    <w:p w14:paraId="1DE1BC0D" w14:textId="77777777" w:rsidR="00307C19" w:rsidRDefault="00307C19" w:rsidP="00307C19">
      <w:r w:rsidRPr="00AF724E">
        <w:t>Eligible childcare professionals include individuals who have a career lattice step level of six or greater and have been employed at the licensed facility for at least six months of the taxable year.</w:t>
      </w:r>
    </w:p>
    <w:p w14:paraId="1F1CD3B5" w14:textId="77777777" w:rsidR="003C75CF" w:rsidRDefault="003C75CF" w:rsidP="00FA2906"/>
    <w:p w14:paraId="2FF27B21" w14:textId="4053E5E3" w:rsidR="00430832" w:rsidRDefault="00430832" w:rsidP="00FA2906">
      <w:pPr>
        <w:rPr>
          <w:b/>
        </w:rPr>
      </w:pPr>
      <w:r>
        <w:rPr>
          <w:b/>
        </w:rPr>
        <w:t>REVENUE ANALYSIS DETAIL</w:t>
      </w:r>
    </w:p>
    <w:p w14:paraId="6DA6FDC5" w14:textId="77777777" w:rsidR="00307C19" w:rsidRDefault="00307C19" w:rsidP="00FA2906">
      <w:pPr>
        <w:rPr>
          <w:b/>
        </w:rPr>
      </w:pPr>
    </w:p>
    <w:p w14:paraId="39CE0597" w14:textId="42C8E456" w:rsidR="00307C19" w:rsidRPr="00DA580F" w:rsidRDefault="00307C19" w:rsidP="00307C19">
      <w:pPr>
        <w:pStyle w:val="ListParagraph"/>
        <w:numPr>
          <w:ilvl w:val="0"/>
          <w:numId w:val="9"/>
        </w:numPr>
        <w:rPr>
          <w:i/>
        </w:rPr>
      </w:pPr>
      <w:r>
        <w:t xml:space="preserve">About </w:t>
      </w:r>
      <w:r w:rsidRPr="00603D2C">
        <w:t>10,800</w:t>
      </w:r>
      <w:r>
        <w:t xml:space="preserve"> childcare professionals would be eligible for the credit</w:t>
      </w:r>
      <w:r w:rsidR="00E24AF6">
        <w:t xml:space="preserve"> if in effect</w:t>
      </w:r>
      <w:r>
        <w:t xml:space="preserve"> in tax year 2018, according to data from DHS.  The credit was assigned based on each professional’s lattice level.</w:t>
      </w:r>
    </w:p>
    <w:p w14:paraId="2FB94EEB" w14:textId="77777777" w:rsidR="00307C19" w:rsidRPr="00DA580F" w:rsidRDefault="00307C19" w:rsidP="00307C19">
      <w:pPr>
        <w:pStyle w:val="ListParagraph"/>
        <w:numPr>
          <w:ilvl w:val="0"/>
          <w:numId w:val="9"/>
        </w:numPr>
        <w:rPr>
          <w:i/>
        </w:rPr>
      </w:pPr>
      <w:r>
        <w:t>Tax year impacts were allocated to the following fiscal year.</w:t>
      </w:r>
    </w:p>
    <w:p w14:paraId="51CB629A" w14:textId="4FBEC379" w:rsidR="00E51CAE" w:rsidRDefault="00307C19" w:rsidP="00E51CAE">
      <w:pPr>
        <w:pStyle w:val="ListParagraph"/>
        <w:numPr>
          <w:ilvl w:val="0"/>
          <w:numId w:val="8"/>
        </w:numPr>
        <w:ind w:left="360"/>
      </w:pPr>
      <w:r>
        <w:t>A 3% growth rate is assumed. Take-up in the new credit was phased in over three years.</w:t>
      </w:r>
    </w:p>
    <w:p w14:paraId="03C60AE4" w14:textId="77777777" w:rsidR="001F5F7B" w:rsidRDefault="001F5F7B" w:rsidP="005A5C02">
      <w:pPr>
        <w:tabs>
          <w:tab w:val="left" w:pos="4050"/>
          <w:tab w:val="left" w:pos="5040"/>
        </w:tabs>
        <w:outlineLvl w:val="0"/>
      </w:pPr>
    </w:p>
    <w:p w14:paraId="5F9C792F" w14:textId="27E6CBFA" w:rsidR="00430832" w:rsidRPr="00410215" w:rsidRDefault="00430832" w:rsidP="00430832">
      <w:pPr>
        <w:rPr>
          <w:bCs/>
        </w:rPr>
      </w:pPr>
      <w:r w:rsidRPr="00430832">
        <w:rPr>
          <w:b/>
        </w:rPr>
        <w:t xml:space="preserve">Number of Taxpayers:  </w:t>
      </w:r>
      <w:r w:rsidR="00E24AF6">
        <w:rPr>
          <w:bCs/>
        </w:rPr>
        <w:t>About 4,000 returns are expected to claim the credit in 2021.  Once fully phased in, about 12,600</w:t>
      </w:r>
      <w:r w:rsidR="00410215">
        <w:rPr>
          <w:bCs/>
        </w:rPr>
        <w:t xml:space="preserve"> professionals </w:t>
      </w:r>
      <w:r w:rsidR="00E24AF6">
        <w:rPr>
          <w:bCs/>
        </w:rPr>
        <w:t>are expected to claim the credit each year.</w:t>
      </w:r>
      <w:r w:rsidR="00410215">
        <w:rPr>
          <w:bCs/>
        </w:rPr>
        <w:t xml:space="preserve"> </w:t>
      </w:r>
    </w:p>
    <w:p w14:paraId="10E1EE4C" w14:textId="77777777" w:rsidR="0044441B" w:rsidRDefault="0044441B" w:rsidP="005A5C02">
      <w:pPr>
        <w:tabs>
          <w:tab w:val="left" w:pos="4050"/>
          <w:tab w:val="left" w:pos="5040"/>
        </w:tabs>
        <w:outlineLvl w:val="0"/>
        <w:rPr>
          <w:b/>
        </w:rPr>
      </w:pPr>
    </w:p>
    <w:p w14:paraId="467F9481" w14:textId="77777777" w:rsidR="00D36088" w:rsidRDefault="00D36088" w:rsidP="005A5C02">
      <w:pPr>
        <w:tabs>
          <w:tab w:val="left" w:pos="4050"/>
          <w:tab w:val="left" w:pos="5040"/>
        </w:tabs>
        <w:outlineLvl w:val="0"/>
        <w:rPr>
          <w:b/>
        </w:rPr>
      </w:pPr>
    </w:p>
    <w:p w14:paraId="31C88453" w14:textId="77777777" w:rsidR="00C72CA6" w:rsidRDefault="00501645" w:rsidP="00501645">
      <w:pPr>
        <w:tabs>
          <w:tab w:val="left" w:pos="4500"/>
          <w:tab w:val="left" w:pos="5760"/>
        </w:tabs>
        <w:outlineLvl w:val="0"/>
      </w:pPr>
      <w:r>
        <w:tab/>
      </w:r>
      <w:r>
        <w:tab/>
      </w:r>
      <w:r w:rsidR="00C72CA6">
        <w:t>Minnesota Department of Revenue</w:t>
      </w:r>
    </w:p>
    <w:p w14:paraId="7489311A" w14:textId="77777777" w:rsidR="00C72CA6" w:rsidRDefault="00C72CA6" w:rsidP="00501645">
      <w:pPr>
        <w:tabs>
          <w:tab w:val="left" w:pos="3600"/>
          <w:tab w:val="left" w:pos="5760"/>
        </w:tabs>
      </w:pPr>
      <w:r>
        <w:tab/>
      </w:r>
      <w:r>
        <w:tab/>
        <w:t>Tax Research Division</w:t>
      </w:r>
    </w:p>
    <w:p w14:paraId="4E2DA130" w14:textId="77777777" w:rsidR="00C72CA6" w:rsidRPr="00C167C3" w:rsidRDefault="00C72CA6" w:rsidP="008A08BC">
      <w:pPr>
        <w:tabs>
          <w:tab w:val="left" w:pos="5760"/>
          <w:tab w:val="left" w:pos="8820"/>
        </w:tabs>
        <w:ind w:left="5760" w:right="810" w:hanging="5040"/>
        <w:rPr>
          <w:sz w:val="22"/>
          <w:szCs w:val="22"/>
        </w:rPr>
      </w:pPr>
      <w:r>
        <w:rPr>
          <w:sz w:val="23"/>
        </w:rPr>
        <w:tab/>
      </w:r>
      <w:hyperlink r:id="rId15" w:history="1">
        <w:r w:rsidR="00567862" w:rsidRPr="009E5999">
          <w:rPr>
            <w:rStyle w:val="Hyperlink"/>
            <w:sz w:val="23"/>
          </w:rPr>
          <w:t>https://www.revenue.state.mn.us/revenue-analyses</w:t>
        </w:r>
      </w:hyperlink>
      <w:r w:rsidR="00567862">
        <w:rPr>
          <w:sz w:val="23"/>
        </w:rPr>
        <w:t xml:space="preserve"> </w:t>
      </w:r>
      <w:r w:rsidR="00182F03">
        <w:rPr>
          <w:sz w:val="22"/>
          <w:szCs w:val="22"/>
        </w:rPr>
        <w:t xml:space="preserve"> </w:t>
      </w:r>
    </w:p>
    <w:p w14:paraId="478D9A42" w14:textId="63B6E261" w:rsidR="00C72CA6" w:rsidRPr="000840C5" w:rsidRDefault="00307C19" w:rsidP="00644D2C">
      <w:pPr>
        <w:pStyle w:val="EnvelopeReturn"/>
        <w:tabs>
          <w:tab w:val="left" w:pos="5040"/>
          <w:tab w:val="left" w:pos="5400"/>
          <w:tab w:val="left" w:pos="5760"/>
        </w:tabs>
        <w:ind w:left="5400" w:hanging="540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FILENAME   \* MERGEFORMAT </w:instrText>
      </w:r>
      <w:r>
        <w:rPr>
          <w:szCs w:val="22"/>
        </w:rPr>
        <w:fldChar w:fldCharType="separate"/>
      </w:r>
      <w:r>
        <w:rPr>
          <w:noProof/>
          <w:szCs w:val="22"/>
        </w:rPr>
        <w:t>sf0934</w:t>
      </w:r>
      <w:r w:rsidR="001A14AE">
        <w:rPr>
          <w:noProof/>
          <w:szCs w:val="22"/>
        </w:rPr>
        <w:t>(hf1125)</w:t>
      </w:r>
      <w:r w:rsidR="00A46FBE">
        <w:rPr>
          <w:noProof/>
          <w:szCs w:val="22"/>
        </w:rPr>
        <w:t>_</w:t>
      </w:r>
      <w:r w:rsidR="00750A6B">
        <w:rPr>
          <w:noProof/>
          <w:szCs w:val="22"/>
        </w:rPr>
        <w:t>2</w:t>
      </w:r>
      <w:r w:rsidR="00A46FBE">
        <w:rPr>
          <w:noProof/>
          <w:szCs w:val="22"/>
        </w:rPr>
        <w:t xml:space="preserve"> </w:t>
      </w:r>
      <w:r>
        <w:rPr>
          <w:noProof/>
          <w:szCs w:val="22"/>
        </w:rPr>
        <w:t>Childcare Professional Credit</w:t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 w:rsidR="008F4D81" w:rsidRPr="000840C5">
        <w:rPr>
          <w:szCs w:val="22"/>
        </w:rPr>
        <w:t>/</w:t>
      </w:r>
      <w:r w:rsidR="003C75CF">
        <w:rPr>
          <w:szCs w:val="22"/>
        </w:rPr>
        <w:t xml:space="preserve"> </w:t>
      </w:r>
      <w:proofErr w:type="spellStart"/>
      <w:r>
        <w:rPr>
          <w:szCs w:val="22"/>
        </w:rPr>
        <w:t>js</w:t>
      </w:r>
      <w:proofErr w:type="spellEnd"/>
    </w:p>
    <w:sectPr w:rsidR="00C72CA6" w:rsidRPr="000840C5" w:rsidSect="00644D2C">
      <w:type w:val="continuous"/>
      <w:pgSz w:w="12240" w:h="15840" w:code="1"/>
      <w:pgMar w:top="360" w:right="1080" w:bottom="36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0B972" w14:textId="77777777" w:rsidR="00B834EA" w:rsidRDefault="00B834EA">
      <w:r>
        <w:separator/>
      </w:r>
    </w:p>
  </w:endnote>
  <w:endnote w:type="continuationSeparator" w:id="0">
    <w:p w14:paraId="1A9E96C2" w14:textId="77777777" w:rsidR="00B834EA" w:rsidRDefault="00B8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A3C6B" w14:textId="77777777" w:rsidR="00B834EA" w:rsidRDefault="00B834EA" w:rsidP="00D25C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4CA51F" w14:textId="77777777" w:rsidR="00B834EA" w:rsidRDefault="00B834EA" w:rsidP="00D25C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B25C4" w14:textId="77777777" w:rsidR="00B834EA" w:rsidRDefault="00B834EA" w:rsidP="00D25C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7FC49" w14:textId="77777777" w:rsidR="00B834EA" w:rsidRDefault="00B834EA">
      <w:r>
        <w:separator/>
      </w:r>
    </w:p>
  </w:footnote>
  <w:footnote w:type="continuationSeparator" w:id="0">
    <w:p w14:paraId="46CC61C6" w14:textId="77777777" w:rsidR="00B834EA" w:rsidRDefault="00B8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2082C" w14:textId="77777777" w:rsidR="00B834EA" w:rsidRDefault="005757DD">
    <w:pPr>
      <w:pStyle w:val="Header"/>
      <w:ind w:right="198"/>
    </w:pPr>
    <w:r>
      <w:rPr>
        <w:noProof/>
      </w:rPr>
      <w:object w:dxaOrig="1440" w:dyaOrig="1440" w14:anchorId="61598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65.6pt;margin-top:0;width:176.3pt;height:10.55pt;z-index:251657216;visibility:visible;mso-wrap-edited:f" o:allowincell="f">
          <v:imagedata r:id="rId1" o:title=""/>
        </v:shape>
        <o:OLEObject Type="Embed" ProgID="Word.Picture.8" ShapeID="_x0000_s2050" DrawAspect="Content" ObjectID="_1679459021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1E43F" w14:textId="77777777" w:rsidR="00B834EA" w:rsidRDefault="00B834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14EC3" w14:textId="77777777" w:rsidR="00B834EA" w:rsidRDefault="00B834EA" w:rsidP="00FF40EB">
    <w:pPr>
      <w:pStyle w:val="Header"/>
      <w:tabs>
        <w:tab w:val="clear" w:pos="4320"/>
        <w:tab w:val="clear" w:pos="8640"/>
        <w:tab w:val="right" w:pos="9270"/>
      </w:tabs>
    </w:pPr>
  </w:p>
  <w:p w14:paraId="2FB776B1" w14:textId="77777777" w:rsidR="00B834EA" w:rsidRDefault="00B834EA" w:rsidP="00FF40EB">
    <w:pPr>
      <w:pStyle w:val="Header"/>
      <w:tabs>
        <w:tab w:val="clear" w:pos="4320"/>
        <w:tab w:val="clear" w:pos="8640"/>
        <w:tab w:val="right" w:pos="9270"/>
      </w:tabs>
    </w:pPr>
    <w:r>
      <w:t>Department of Revenue</w:t>
    </w:r>
    <w:r>
      <w:tab/>
    </w:r>
    <w:r w:rsidR="001529DE">
      <w:t>Month xx, 2017</w:t>
    </w:r>
  </w:p>
  <w:p w14:paraId="2C5134B3" w14:textId="77777777" w:rsidR="00B834EA" w:rsidRPr="00D36088" w:rsidRDefault="00D36088" w:rsidP="00FF40EB">
    <w:pPr>
      <w:rPr>
        <w:b/>
      </w:rPr>
    </w:pPr>
    <w:r>
      <w:t xml:space="preserve">Analysis of </w:t>
    </w:r>
  </w:p>
  <w:p w14:paraId="425F8D0C" w14:textId="77777777" w:rsidR="00B834EA" w:rsidRDefault="00B834EA" w:rsidP="00FF40EB">
    <w:pPr>
      <w:pStyle w:val="Header"/>
      <w:tabs>
        <w:tab w:val="clear" w:pos="4320"/>
        <w:tab w:val="clear" w:pos="8640"/>
      </w:tabs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Arabic  \* MERGEFORMAT </w:instrText>
    </w:r>
    <w:r>
      <w:rPr>
        <w:rStyle w:val="PageNumber"/>
      </w:rPr>
      <w:fldChar w:fldCharType="separate"/>
    </w:r>
    <w:r w:rsidR="00681E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B2CCEA" w14:textId="77777777" w:rsidR="00B834EA" w:rsidRDefault="00B834EA" w:rsidP="00FF40EB">
    <w:pPr>
      <w:pStyle w:val="Header"/>
      <w:tabs>
        <w:tab w:val="clear" w:pos="4320"/>
        <w:tab w:val="clear" w:pos="864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E8598" w14:textId="77777777" w:rsidR="00B834EA" w:rsidRDefault="00B83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2E0ABF"/>
    <w:multiLevelType w:val="hybridMultilevel"/>
    <w:tmpl w:val="C1C2D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24FED"/>
    <w:multiLevelType w:val="hybridMultilevel"/>
    <w:tmpl w:val="DBBEB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000C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0FE0CDE"/>
    <w:multiLevelType w:val="hybridMultilevel"/>
    <w:tmpl w:val="841C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B5B2C"/>
    <w:multiLevelType w:val="hybridMultilevel"/>
    <w:tmpl w:val="F816E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8A5AE5"/>
    <w:multiLevelType w:val="hybridMultilevel"/>
    <w:tmpl w:val="88B88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AB1B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1D7E0F"/>
    <w:multiLevelType w:val="hybridMultilevel"/>
    <w:tmpl w:val="BAE68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Empty"/>
  </w:docVars>
  <w:rsids>
    <w:rsidRoot w:val="001A2F2C"/>
    <w:rsid w:val="0001603E"/>
    <w:rsid w:val="000516D1"/>
    <w:rsid w:val="00052B71"/>
    <w:rsid w:val="00064EF9"/>
    <w:rsid w:val="00065BF7"/>
    <w:rsid w:val="00082BFB"/>
    <w:rsid w:val="000840C5"/>
    <w:rsid w:val="000A782C"/>
    <w:rsid w:val="000B72DB"/>
    <w:rsid w:val="000C6031"/>
    <w:rsid w:val="000D4743"/>
    <w:rsid w:val="00137758"/>
    <w:rsid w:val="00137AE0"/>
    <w:rsid w:val="001443CF"/>
    <w:rsid w:val="001529DE"/>
    <w:rsid w:val="00166234"/>
    <w:rsid w:val="00182F03"/>
    <w:rsid w:val="001A14AE"/>
    <w:rsid w:val="001A2F2C"/>
    <w:rsid w:val="001D0ACD"/>
    <w:rsid w:val="001F5F7B"/>
    <w:rsid w:val="00200475"/>
    <w:rsid w:val="002114CA"/>
    <w:rsid w:val="00226006"/>
    <w:rsid w:val="00256243"/>
    <w:rsid w:val="002A3FCF"/>
    <w:rsid w:val="002D4A39"/>
    <w:rsid w:val="002D5058"/>
    <w:rsid w:val="00306FF8"/>
    <w:rsid w:val="00307C19"/>
    <w:rsid w:val="00307DDF"/>
    <w:rsid w:val="00312F06"/>
    <w:rsid w:val="00316581"/>
    <w:rsid w:val="0032511D"/>
    <w:rsid w:val="00333ADB"/>
    <w:rsid w:val="00343383"/>
    <w:rsid w:val="00363CE4"/>
    <w:rsid w:val="003765E1"/>
    <w:rsid w:val="00394333"/>
    <w:rsid w:val="003B7105"/>
    <w:rsid w:val="003C1BF3"/>
    <w:rsid w:val="003C75CF"/>
    <w:rsid w:val="003C7662"/>
    <w:rsid w:val="003D0141"/>
    <w:rsid w:val="003D4118"/>
    <w:rsid w:val="003E7A99"/>
    <w:rsid w:val="003F384A"/>
    <w:rsid w:val="00410215"/>
    <w:rsid w:val="004120CD"/>
    <w:rsid w:val="0042305B"/>
    <w:rsid w:val="00430832"/>
    <w:rsid w:val="00434270"/>
    <w:rsid w:val="00435B36"/>
    <w:rsid w:val="00441D69"/>
    <w:rsid w:val="004439F5"/>
    <w:rsid w:val="0044441B"/>
    <w:rsid w:val="004801CE"/>
    <w:rsid w:val="00490464"/>
    <w:rsid w:val="004A3502"/>
    <w:rsid w:val="004C510E"/>
    <w:rsid w:val="004D5A76"/>
    <w:rsid w:val="004E3648"/>
    <w:rsid w:val="004F6459"/>
    <w:rsid w:val="00501645"/>
    <w:rsid w:val="00503CBF"/>
    <w:rsid w:val="005165FB"/>
    <w:rsid w:val="0052079C"/>
    <w:rsid w:val="0052256D"/>
    <w:rsid w:val="00523AE5"/>
    <w:rsid w:val="00540744"/>
    <w:rsid w:val="00567862"/>
    <w:rsid w:val="005757DD"/>
    <w:rsid w:val="0059290E"/>
    <w:rsid w:val="005A5C02"/>
    <w:rsid w:val="006273C1"/>
    <w:rsid w:val="006300A3"/>
    <w:rsid w:val="0063767D"/>
    <w:rsid w:val="00644D2C"/>
    <w:rsid w:val="00650B3F"/>
    <w:rsid w:val="00657FC0"/>
    <w:rsid w:val="00661CAB"/>
    <w:rsid w:val="0067194A"/>
    <w:rsid w:val="00681EB8"/>
    <w:rsid w:val="00692AF9"/>
    <w:rsid w:val="006C011A"/>
    <w:rsid w:val="006D24FF"/>
    <w:rsid w:val="006D5D4B"/>
    <w:rsid w:val="006E037E"/>
    <w:rsid w:val="006E5B26"/>
    <w:rsid w:val="006F3EB2"/>
    <w:rsid w:val="006F7822"/>
    <w:rsid w:val="00701052"/>
    <w:rsid w:val="00702B32"/>
    <w:rsid w:val="007050F9"/>
    <w:rsid w:val="00705403"/>
    <w:rsid w:val="0071011E"/>
    <w:rsid w:val="0072342C"/>
    <w:rsid w:val="00727956"/>
    <w:rsid w:val="007336EC"/>
    <w:rsid w:val="00734BAF"/>
    <w:rsid w:val="007434A3"/>
    <w:rsid w:val="00750A6B"/>
    <w:rsid w:val="00755010"/>
    <w:rsid w:val="00762A92"/>
    <w:rsid w:val="00777080"/>
    <w:rsid w:val="007D1C27"/>
    <w:rsid w:val="007E73B5"/>
    <w:rsid w:val="00802F01"/>
    <w:rsid w:val="00803C46"/>
    <w:rsid w:val="00823F28"/>
    <w:rsid w:val="008409D3"/>
    <w:rsid w:val="008759D9"/>
    <w:rsid w:val="008A08BC"/>
    <w:rsid w:val="008E1A68"/>
    <w:rsid w:val="008F026E"/>
    <w:rsid w:val="008F4D81"/>
    <w:rsid w:val="00900C0D"/>
    <w:rsid w:val="00902E9F"/>
    <w:rsid w:val="00932DBD"/>
    <w:rsid w:val="00965594"/>
    <w:rsid w:val="009832B1"/>
    <w:rsid w:val="009969BE"/>
    <w:rsid w:val="009B72B1"/>
    <w:rsid w:val="009B79AA"/>
    <w:rsid w:val="009D247B"/>
    <w:rsid w:val="009D730B"/>
    <w:rsid w:val="009F6473"/>
    <w:rsid w:val="00A407AB"/>
    <w:rsid w:val="00A41F80"/>
    <w:rsid w:val="00A46FBE"/>
    <w:rsid w:val="00A5000D"/>
    <w:rsid w:val="00A532DC"/>
    <w:rsid w:val="00A53912"/>
    <w:rsid w:val="00A72127"/>
    <w:rsid w:val="00A85815"/>
    <w:rsid w:val="00AA6A05"/>
    <w:rsid w:val="00AC0EAD"/>
    <w:rsid w:val="00AC1782"/>
    <w:rsid w:val="00AC6F39"/>
    <w:rsid w:val="00AE12A4"/>
    <w:rsid w:val="00AF4F6F"/>
    <w:rsid w:val="00B20380"/>
    <w:rsid w:val="00B22E79"/>
    <w:rsid w:val="00B61462"/>
    <w:rsid w:val="00B63AF9"/>
    <w:rsid w:val="00B834EA"/>
    <w:rsid w:val="00B93A98"/>
    <w:rsid w:val="00BB1E2E"/>
    <w:rsid w:val="00BB2308"/>
    <w:rsid w:val="00BC1C1E"/>
    <w:rsid w:val="00BC58D0"/>
    <w:rsid w:val="00BD6E05"/>
    <w:rsid w:val="00BE146E"/>
    <w:rsid w:val="00BE5F64"/>
    <w:rsid w:val="00C07CD8"/>
    <w:rsid w:val="00C1391B"/>
    <w:rsid w:val="00C167C3"/>
    <w:rsid w:val="00C176CA"/>
    <w:rsid w:val="00C239EA"/>
    <w:rsid w:val="00C248BF"/>
    <w:rsid w:val="00C43995"/>
    <w:rsid w:val="00C72CA6"/>
    <w:rsid w:val="00C857B5"/>
    <w:rsid w:val="00C91336"/>
    <w:rsid w:val="00CC752C"/>
    <w:rsid w:val="00D03ED1"/>
    <w:rsid w:val="00D12936"/>
    <w:rsid w:val="00D25CB9"/>
    <w:rsid w:val="00D31BB5"/>
    <w:rsid w:val="00D33B69"/>
    <w:rsid w:val="00D36088"/>
    <w:rsid w:val="00D44322"/>
    <w:rsid w:val="00D547A2"/>
    <w:rsid w:val="00D5786A"/>
    <w:rsid w:val="00D82FA5"/>
    <w:rsid w:val="00DC3EBA"/>
    <w:rsid w:val="00E203E3"/>
    <w:rsid w:val="00E20E14"/>
    <w:rsid w:val="00E24AF6"/>
    <w:rsid w:val="00E51B1C"/>
    <w:rsid w:val="00E51CAE"/>
    <w:rsid w:val="00E93F2A"/>
    <w:rsid w:val="00E96552"/>
    <w:rsid w:val="00EA5501"/>
    <w:rsid w:val="00EB72D4"/>
    <w:rsid w:val="00EF1E62"/>
    <w:rsid w:val="00F0020E"/>
    <w:rsid w:val="00F257D4"/>
    <w:rsid w:val="00F40C23"/>
    <w:rsid w:val="00F57EA8"/>
    <w:rsid w:val="00F7029F"/>
    <w:rsid w:val="00F715EB"/>
    <w:rsid w:val="00F9461F"/>
    <w:rsid w:val="00FA2906"/>
    <w:rsid w:val="00FC46F9"/>
    <w:rsid w:val="00FD12C9"/>
    <w:rsid w:val="00FD7DDE"/>
    <w:rsid w:val="00FE46F5"/>
    <w:rsid w:val="00FF40EB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E10D2D1"/>
  <w15:docId w15:val="{64403E62-E670-43BB-AF1C-EE6864C0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42C"/>
    <w:rPr>
      <w:sz w:val="24"/>
    </w:rPr>
  </w:style>
  <w:style w:type="paragraph" w:styleId="Heading1">
    <w:name w:val="heading 1"/>
    <w:basedOn w:val="Normal"/>
    <w:next w:val="Normal"/>
    <w:qFormat/>
    <w:rsid w:val="0072342C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2342C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72342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2342C"/>
    <w:pPr>
      <w:keepNext/>
      <w:ind w:left="57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2342C"/>
    <w:rPr>
      <w:sz w:val="22"/>
    </w:rPr>
  </w:style>
  <w:style w:type="paragraph" w:styleId="BodyText">
    <w:name w:val="Body Text"/>
    <w:basedOn w:val="Normal"/>
    <w:link w:val="BodyTextChar"/>
    <w:rsid w:val="0072342C"/>
    <w:pPr>
      <w:ind w:left="720" w:hanging="720"/>
    </w:pPr>
  </w:style>
  <w:style w:type="paragraph" w:styleId="Header">
    <w:name w:val="header"/>
    <w:basedOn w:val="Normal"/>
    <w:rsid w:val="00723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342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2342C"/>
    <w:pPr>
      <w:tabs>
        <w:tab w:val="left" w:pos="360"/>
        <w:tab w:val="right" w:pos="4050"/>
        <w:tab w:val="right" w:pos="5310"/>
        <w:tab w:val="right" w:pos="6570"/>
        <w:tab w:val="right" w:pos="7830"/>
        <w:tab w:val="right" w:pos="9090"/>
        <w:tab w:val="right" w:pos="10350"/>
      </w:tabs>
      <w:ind w:left="360"/>
    </w:pPr>
  </w:style>
  <w:style w:type="character" w:styleId="PageNumber">
    <w:name w:val="page number"/>
    <w:basedOn w:val="DefaultParagraphFont"/>
    <w:rsid w:val="0072342C"/>
  </w:style>
  <w:style w:type="paragraph" w:styleId="DocumentMap">
    <w:name w:val="Document Map"/>
    <w:basedOn w:val="Normal"/>
    <w:semiHidden/>
    <w:rsid w:val="0072342C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72342C"/>
    <w:rPr>
      <w:color w:val="0000FF"/>
      <w:u w:val="single"/>
    </w:rPr>
  </w:style>
  <w:style w:type="paragraph" w:styleId="BalloonText">
    <w:name w:val="Balloon Text"/>
    <w:basedOn w:val="Normal"/>
    <w:semiHidden/>
    <w:rsid w:val="00A41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6E05"/>
    <w:pPr>
      <w:ind w:left="720"/>
      <w:contextualSpacing/>
    </w:pPr>
  </w:style>
  <w:style w:type="character" w:styleId="FollowedHyperlink">
    <w:name w:val="FollowedHyperlink"/>
    <w:basedOn w:val="DefaultParagraphFont"/>
    <w:rsid w:val="00182F03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932DBD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3765E1"/>
    <w:pPr>
      <w:spacing w:before="100" w:beforeAutospacing="1" w:after="100" w:afterAutospacing="1"/>
    </w:pPr>
    <w:rPr>
      <w:rFonts w:eastAsiaTheme="minorEastAsia"/>
      <w:szCs w:val="24"/>
    </w:rPr>
  </w:style>
  <w:style w:type="character" w:customStyle="1" w:styleId="Heading3Char">
    <w:name w:val="Heading 3 Char"/>
    <w:basedOn w:val="DefaultParagraphFont"/>
    <w:link w:val="Heading3"/>
    <w:rsid w:val="00C1391B"/>
    <w:rPr>
      <w:b/>
      <w:sz w:val="24"/>
    </w:rPr>
  </w:style>
  <w:style w:type="table" w:styleId="TableGrid">
    <w:name w:val="Table Grid"/>
    <w:basedOn w:val="TableNormal"/>
    <w:rsid w:val="0030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0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www.revenue.state.mn.us/revenue-analyses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FCF3-3907-4163-B1FA-8046ADE4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Revenue</Company>
  <LinksUpToDate>false</LinksUpToDate>
  <CharactersWithSpaces>2135</CharactersWithSpaces>
  <SharedDoc>false</SharedDoc>
  <HLinks>
    <vt:vector size="6" baseType="variant"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http://www.taxes.state.mn.us/polic.html</vt:lpwstr>
      </vt:variant>
      <vt:variant>
        <vt:lpwstr>analyses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Weldon</dc:creator>
  <cp:lastModifiedBy>Walker, Curtis (MDOR)</cp:lastModifiedBy>
  <cp:revision>3</cp:revision>
  <cp:lastPrinted>2021-04-07T19:43:00Z</cp:lastPrinted>
  <dcterms:created xsi:type="dcterms:W3CDTF">2021-04-08T15:08:00Z</dcterms:created>
  <dcterms:modified xsi:type="dcterms:W3CDTF">2021-04-09T12:37:00Z</dcterms:modified>
</cp:coreProperties>
</file>