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5B17" w14:textId="77777777" w:rsidR="00C72CA6" w:rsidRDefault="004C510E">
      <w:pPr>
        <w:tabs>
          <w:tab w:val="left" w:pos="7020"/>
          <w:tab w:val="left" w:pos="10620"/>
        </w:tabs>
        <w:ind w:right="-504"/>
        <w:rPr>
          <w:b/>
        </w:rPr>
        <w:sectPr w:rsidR="00C72CA6" w:rsidSect="003C75CF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90" w:right="1440" w:bottom="720" w:left="1440" w:header="360" w:footer="720" w:gutter="0"/>
          <w:pgNumType w:start="1"/>
          <w:cols w:space="720"/>
          <w:titlePg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DB1D01" wp14:editId="7FF4A23A">
            <wp:simplePos x="0" y="0"/>
            <wp:positionH relativeFrom="margin">
              <wp:posOffset>0</wp:posOffset>
            </wp:positionH>
            <wp:positionV relativeFrom="paragraph">
              <wp:posOffset>81915</wp:posOffset>
            </wp:positionV>
            <wp:extent cx="1847850" cy="376555"/>
            <wp:effectExtent l="0" t="0" r="0" b="444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venue-logo-grayscale-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7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5538D" w14:textId="77777777" w:rsidR="00C1391B" w:rsidRDefault="000D4743" w:rsidP="00430832">
      <w:pPr>
        <w:pStyle w:val="Heading3"/>
        <w:tabs>
          <w:tab w:val="left" w:pos="5850"/>
          <w:tab w:val="left" w:pos="5940"/>
          <w:tab w:val="left" w:pos="10620"/>
        </w:tabs>
      </w:pPr>
      <w:r>
        <w:t xml:space="preserve">                                         </w:t>
      </w:r>
      <w:r w:rsidR="00430832">
        <w:tab/>
      </w:r>
      <w:r w:rsidR="00FF1C37">
        <w:t>LOCAL SALES AND USE TAX</w:t>
      </w:r>
      <w:r>
        <w:t xml:space="preserve"> </w:t>
      </w:r>
    </w:p>
    <w:p w14:paraId="0BB32C08" w14:textId="3D7D31B4" w:rsidR="000D4743" w:rsidRDefault="000D4743" w:rsidP="00430832">
      <w:pPr>
        <w:pStyle w:val="Heading3"/>
        <w:tabs>
          <w:tab w:val="left" w:pos="5850"/>
          <w:tab w:val="left" w:pos="5940"/>
          <w:tab w:val="left" w:pos="10620"/>
        </w:tabs>
        <w:ind w:left="1440" w:right="-184"/>
      </w:pPr>
      <w:r>
        <w:t xml:space="preserve">                                         </w:t>
      </w:r>
      <w:r w:rsidR="00430832">
        <w:tab/>
      </w:r>
      <w:r w:rsidR="005B1FBD">
        <w:t xml:space="preserve">City of </w:t>
      </w:r>
      <w:r w:rsidR="005B1AC9">
        <w:t>Excelsior</w:t>
      </w:r>
    </w:p>
    <w:p w14:paraId="6BFA6099" w14:textId="77777777" w:rsidR="00AC51A9" w:rsidRPr="00AC51A9" w:rsidRDefault="000D4743" w:rsidP="00430832">
      <w:pPr>
        <w:pStyle w:val="Heading3"/>
        <w:tabs>
          <w:tab w:val="left" w:pos="5850"/>
          <w:tab w:val="left" w:pos="10620"/>
        </w:tabs>
        <w:ind w:left="1440"/>
        <w:rPr>
          <w:sz w:val="18"/>
          <w:szCs w:val="18"/>
        </w:rPr>
      </w:pPr>
      <w:r w:rsidRPr="00AC51A9">
        <w:rPr>
          <w:sz w:val="18"/>
          <w:szCs w:val="18"/>
        </w:rPr>
        <w:t xml:space="preserve">                              </w:t>
      </w:r>
    </w:p>
    <w:p w14:paraId="73ACE048" w14:textId="0437CE84" w:rsidR="006D5D4B" w:rsidRPr="00AC51A9" w:rsidRDefault="000D4743" w:rsidP="00430832">
      <w:pPr>
        <w:pStyle w:val="Heading3"/>
        <w:tabs>
          <w:tab w:val="left" w:pos="5850"/>
          <w:tab w:val="left" w:pos="10620"/>
        </w:tabs>
        <w:ind w:left="1440"/>
        <w:rPr>
          <w:sz w:val="18"/>
          <w:szCs w:val="18"/>
        </w:rPr>
      </w:pPr>
      <w:r w:rsidRPr="00AC51A9">
        <w:rPr>
          <w:sz w:val="18"/>
          <w:szCs w:val="18"/>
        </w:rPr>
        <w:t xml:space="preserve">                                                                                </w:t>
      </w:r>
      <w:r w:rsidR="00430832" w:rsidRPr="00AC51A9">
        <w:rPr>
          <w:sz w:val="18"/>
          <w:szCs w:val="18"/>
        </w:rPr>
        <w:t xml:space="preserve">                               </w:t>
      </w:r>
    </w:p>
    <w:p w14:paraId="4A251EE5" w14:textId="60F7C911" w:rsidR="00FF1C37" w:rsidRDefault="000B72DB" w:rsidP="00F7029F">
      <w:pPr>
        <w:tabs>
          <w:tab w:val="left" w:pos="5760"/>
          <w:tab w:val="left" w:pos="1062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700765E" wp14:editId="17C9D230">
                <wp:simplePos x="0" y="0"/>
                <wp:positionH relativeFrom="column">
                  <wp:posOffset>3533775</wp:posOffset>
                </wp:positionH>
                <wp:positionV relativeFrom="paragraph">
                  <wp:posOffset>13335</wp:posOffset>
                </wp:positionV>
                <wp:extent cx="2714625" cy="586740"/>
                <wp:effectExtent l="0" t="0" r="9525" b="381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54"/>
                              <w:gridCol w:w="636"/>
                              <w:gridCol w:w="636"/>
                            </w:tblGrid>
                            <w:tr w:rsidR="00B834EA" w14:paraId="4636EBE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2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157842" w14:textId="77777777" w:rsidR="00B834EA" w:rsidRDefault="00B834EA" w:rsidP="00F9461F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B344BB" w14:textId="77777777" w:rsidR="00B834EA" w:rsidRDefault="00B834EA" w:rsidP="00F9461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0A215" w14:textId="77777777" w:rsidR="00B834EA" w:rsidRDefault="00B834EA" w:rsidP="00C248B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834EA" w14:paraId="418EADDE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4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04C287" w14:textId="77777777" w:rsidR="00B834EA" w:rsidRPr="006E5B26" w:rsidRDefault="00B834EA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6E5B26">
                                    <w:rPr>
                                      <w:b/>
                                      <w:sz w:val="18"/>
                                    </w:rPr>
                                    <w:t>DOR Administrative Costs/Savings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A78512" w14:textId="77777777" w:rsidR="004A3502" w:rsidRDefault="004A3502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6A8B6B8" w14:textId="77777777" w:rsidR="00B834EA" w:rsidRDefault="00B834E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7666A5" w14:textId="77777777" w:rsidR="00B834EA" w:rsidRDefault="00B834EA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64C8B75" w14:textId="1CE97236" w:rsidR="00B834EA" w:rsidRDefault="00AC51A9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14:paraId="19B0F77D" w14:textId="77777777" w:rsidR="00B834EA" w:rsidRDefault="00B834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0076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8.25pt;margin-top:1.05pt;width:213.75pt;height: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" o:allowincell="f" stroked="f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54"/>
                        <w:gridCol w:w="636"/>
                        <w:gridCol w:w="636"/>
                      </w:tblGrid>
                      <w:tr w:rsidR="00B834EA" w14:paraId="4636EBE6" w14:textId="77777777">
                        <w:trPr>
                          <w:trHeight w:val="311"/>
                        </w:trPr>
                        <w:tc>
                          <w:tcPr>
                            <w:tcW w:w="2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157842" w14:textId="77777777" w:rsidR="00B834EA" w:rsidRDefault="00B834EA" w:rsidP="00F9461F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B344BB" w14:textId="77777777" w:rsidR="00B834EA" w:rsidRDefault="00B834EA" w:rsidP="00F9461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0A215" w14:textId="77777777" w:rsidR="00B834EA" w:rsidRDefault="00B834EA" w:rsidP="00C248B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</w:t>
                            </w:r>
                          </w:p>
                        </w:tc>
                      </w:tr>
                      <w:tr w:rsidR="00B834EA" w14:paraId="418EADDE" w14:textId="77777777">
                        <w:trPr>
                          <w:trHeight w:val="420"/>
                        </w:trPr>
                        <w:tc>
                          <w:tcPr>
                            <w:tcW w:w="24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04C287" w14:textId="77777777" w:rsidR="00B834EA" w:rsidRPr="006E5B26" w:rsidRDefault="00B834EA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6E5B26">
                              <w:rPr>
                                <w:b/>
                                <w:sz w:val="18"/>
                              </w:rPr>
                              <w:t>DOR Administrative Costs/Savings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A78512" w14:textId="77777777" w:rsidR="004A3502" w:rsidRDefault="004A3502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6A8B6B8" w14:textId="77777777" w:rsidR="00B834EA" w:rsidRDefault="00B834EA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7666A5" w14:textId="77777777" w:rsidR="00B834EA" w:rsidRDefault="00B834EA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64C8B75" w14:textId="1CE97236" w:rsidR="00B834EA" w:rsidRDefault="00AC51A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X</w:t>
                            </w:r>
                          </w:p>
                        </w:tc>
                      </w:tr>
                    </w:tbl>
                    <w:p w14:paraId="19B0F77D" w14:textId="77777777" w:rsidR="00B834EA" w:rsidRDefault="00B834EA"/>
                  </w:txbxContent>
                </v:textbox>
              </v:shape>
            </w:pict>
          </mc:Fallback>
        </mc:AlternateContent>
      </w:r>
      <w:r w:rsidR="000B4371">
        <w:rPr>
          <w:noProof/>
        </w:rPr>
        <w:t>February 2</w:t>
      </w:r>
      <w:r w:rsidR="00AC51A9">
        <w:rPr>
          <w:noProof/>
        </w:rPr>
        <w:t>5</w:t>
      </w:r>
      <w:r w:rsidR="000B4371">
        <w:rPr>
          <w:noProof/>
        </w:rPr>
        <w:t>, 2019</w:t>
      </w:r>
    </w:p>
    <w:p w14:paraId="0D1F1109" w14:textId="77777777" w:rsidR="00C72CA6" w:rsidRDefault="00C72CA6"/>
    <w:p w14:paraId="7BDD3193" w14:textId="77777777" w:rsidR="00F7029F" w:rsidRDefault="00F7029F">
      <w:pPr>
        <w:pStyle w:val="Header"/>
        <w:tabs>
          <w:tab w:val="clear" w:pos="4320"/>
          <w:tab w:val="clear" w:pos="8640"/>
        </w:tabs>
        <w:outlineLvl w:val="0"/>
      </w:pPr>
    </w:p>
    <w:p w14:paraId="6FC3D427" w14:textId="77777777" w:rsidR="00C72CA6" w:rsidRDefault="00C72CA6">
      <w:pPr>
        <w:pStyle w:val="Header"/>
        <w:tabs>
          <w:tab w:val="clear" w:pos="4320"/>
          <w:tab w:val="clear" w:pos="8640"/>
        </w:tabs>
        <w:outlineLvl w:val="0"/>
      </w:pPr>
      <w:r>
        <w:t>Department of Revenue</w:t>
      </w:r>
    </w:p>
    <w:p w14:paraId="46AED0D5" w14:textId="6D544E7D" w:rsidR="002D4A39" w:rsidRDefault="00C72CA6" w:rsidP="002D4A39">
      <w:pPr>
        <w:outlineLvl w:val="0"/>
      </w:pPr>
      <w:r>
        <w:t xml:space="preserve">Analysis </w:t>
      </w:r>
      <w:r w:rsidR="00757E27">
        <w:t>of</w:t>
      </w:r>
      <w:r w:rsidR="000B4371">
        <w:t xml:space="preserve"> </w:t>
      </w:r>
      <w:r w:rsidR="004271C2">
        <w:t>S</w:t>
      </w:r>
      <w:r w:rsidR="000B4371">
        <w:t xml:space="preserve">.F. </w:t>
      </w:r>
      <w:r w:rsidR="004271C2">
        <w:t>41</w:t>
      </w:r>
      <w:r w:rsidR="000B4371">
        <w:t xml:space="preserve"> (</w:t>
      </w:r>
      <w:r w:rsidR="004271C2">
        <w:t>Osmek</w:t>
      </w:r>
      <w:r w:rsidR="000B4371">
        <w:t xml:space="preserve">) / </w:t>
      </w:r>
      <w:r w:rsidR="004271C2">
        <w:t>H</w:t>
      </w:r>
      <w:r w:rsidR="000B4371">
        <w:t xml:space="preserve">.F. </w:t>
      </w:r>
      <w:r w:rsidR="00772F4C">
        <w:t>1130</w:t>
      </w:r>
      <w:r w:rsidR="000B4371">
        <w:t xml:space="preserve"> (</w:t>
      </w:r>
      <w:r w:rsidR="004271C2">
        <w:t>Morrison</w:t>
      </w:r>
      <w:r w:rsidR="000B4371">
        <w:t>)</w:t>
      </w:r>
    </w:p>
    <w:p w14:paraId="5C6CEC1E" w14:textId="77777777" w:rsidR="00D36088" w:rsidRPr="00AC51A9" w:rsidRDefault="00D36088" w:rsidP="005A5C02">
      <w:pPr>
        <w:tabs>
          <w:tab w:val="left" w:pos="4050"/>
          <w:tab w:val="left" w:pos="5040"/>
        </w:tabs>
        <w:outlineLvl w:val="0"/>
        <w:rPr>
          <w:b/>
          <w:sz w:val="32"/>
          <w:szCs w:val="32"/>
        </w:rPr>
      </w:pPr>
    </w:p>
    <w:p w14:paraId="153968A5" w14:textId="3766B594" w:rsidR="00FF1C37" w:rsidRDefault="00FF1C37" w:rsidP="00FF1C37">
      <w:pPr>
        <w:pStyle w:val="Header"/>
        <w:tabs>
          <w:tab w:val="left" w:pos="720"/>
        </w:tabs>
      </w:pPr>
      <w:r>
        <w:t>The bill authorizes</w:t>
      </w:r>
      <w:r w:rsidR="00864608">
        <w:t xml:space="preserve"> </w:t>
      </w:r>
      <w:r w:rsidR="005B1FBD">
        <w:t xml:space="preserve">the city of </w:t>
      </w:r>
      <w:r w:rsidR="006E3566">
        <w:t>Excelsior</w:t>
      </w:r>
      <w:r>
        <w:t xml:space="preserve"> to impose a sales and use tax of up to </w:t>
      </w:r>
      <w:r w:rsidR="00E54104">
        <w:t>0.5</w:t>
      </w:r>
      <w:r w:rsidR="00AC51A9">
        <w:t xml:space="preserve">%, </w:t>
      </w:r>
      <w:r w:rsidR="00AC51A9">
        <w:t>as approved by the voters at the 2014</w:t>
      </w:r>
      <w:r w:rsidR="00AC51A9">
        <w:t xml:space="preserve"> general election.  </w:t>
      </w:r>
      <w:r>
        <w:t>The pr</w:t>
      </w:r>
      <w:r w:rsidR="00864608">
        <w:t>oceeds would be used to finance</w:t>
      </w:r>
      <w:r w:rsidR="005B1FBD">
        <w:t xml:space="preserve"> </w:t>
      </w:r>
      <w:r w:rsidR="00772F4C">
        <w:t>capital and administrative costs of improvements as indicated in the</w:t>
      </w:r>
      <w:r w:rsidR="00AC51A9">
        <w:t xml:space="preserve"> city </w:t>
      </w:r>
      <w:bookmarkStart w:id="0" w:name="_GoBack"/>
      <w:bookmarkEnd w:id="0"/>
      <w:r w:rsidR="00772F4C">
        <w:t>Commons Master Plan</w:t>
      </w:r>
      <w:r w:rsidR="00C13141">
        <w:t xml:space="preserve">. </w:t>
      </w:r>
      <w:r w:rsidR="00AC51A9">
        <w:t xml:space="preserve"> </w:t>
      </w:r>
      <w:r w:rsidR="0016502D">
        <w:t xml:space="preserve">Authorized expenses would include accessibility improvements, beach area and facilities enhancements, shoreline erosion management, and port and </w:t>
      </w:r>
      <w:r w:rsidR="00495CB2">
        <w:t>band shell</w:t>
      </w:r>
      <w:r w:rsidR="0016502D">
        <w:t xml:space="preserve"> redesign and improvement of playground equipment. </w:t>
      </w:r>
      <w:r w:rsidR="00AC51A9">
        <w:t xml:space="preserve"> </w:t>
      </w:r>
      <w:r w:rsidR="00C13141">
        <w:t>The</w:t>
      </w:r>
      <w:r w:rsidR="005B1FBD">
        <w:t xml:space="preserve"> bill </w:t>
      </w:r>
      <w:r>
        <w:t>authorizes</w:t>
      </w:r>
      <w:r w:rsidR="00AC51A9">
        <w:t xml:space="preserve"> a bond </w:t>
      </w:r>
      <w:r w:rsidR="005B1FBD">
        <w:t>issuance of up to $</w:t>
      </w:r>
      <w:r w:rsidR="00E54104">
        <w:t>7</w:t>
      </w:r>
      <w:r w:rsidR="005B1FBD">
        <w:t xml:space="preserve"> million </w:t>
      </w:r>
      <w:r w:rsidR="00AC51A9">
        <w:t>plus bond costs</w:t>
      </w:r>
      <w:r w:rsidR="00AE1174">
        <w:t>.</w:t>
      </w:r>
    </w:p>
    <w:p w14:paraId="56704C32" w14:textId="77777777" w:rsidR="00FF1C37" w:rsidRDefault="00FF1C37" w:rsidP="00FF1C37">
      <w:pPr>
        <w:pStyle w:val="Header"/>
        <w:tabs>
          <w:tab w:val="left" w:pos="720"/>
        </w:tabs>
      </w:pPr>
    </w:p>
    <w:p w14:paraId="2D27F43B" w14:textId="18612E99" w:rsidR="00FF1C37" w:rsidRDefault="00AC51A9" w:rsidP="00FF1C37">
      <w:pPr>
        <w:pStyle w:val="Header"/>
        <w:tabs>
          <w:tab w:val="left" w:pos="720"/>
        </w:tabs>
      </w:pPr>
      <w:r>
        <w:t xml:space="preserve">The tax would expire </w:t>
      </w:r>
      <w:r w:rsidR="005B1FBD">
        <w:t xml:space="preserve">the </w:t>
      </w:r>
      <w:r w:rsidR="00E54104">
        <w:t xml:space="preserve">later </w:t>
      </w:r>
      <w:r w:rsidR="005B1FBD">
        <w:t xml:space="preserve">of </w:t>
      </w:r>
      <w:r w:rsidR="00E54104">
        <w:t xml:space="preserve">25 </w:t>
      </w:r>
      <w:r w:rsidR="00AE1174">
        <w:t xml:space="preserve">years after it was first imposed or when the </w:t>
      </w:r>
      <w:r w:rsidR="005B1FBD">
        <w:t xml:space="preserve">city council </w:t>
      </w:r>
      <w:r w:rsidR="00AE1174">
        <w:t>determines that $</w:t>
      </w:r>
      <w:r w:rsidR="00E54104">
        <w:t>7</w:t>
      </w:r>
      <w:r w:rsidR="00AE1174">
        <w:t xml:space="preserve"> million</w:t>
      </w:r>
      <w:r>
        <w:t xml:space="preserve"> plus bond costs </w:t>
      </w:r>
      <w:r w:rsidR="00AE1174">
        <w:t>has been received f</w:t>
      </w:r>
      <w:r w:rsidR="005B1FBD">
        <w:t>rom the tax</w:t>
      </w:r>
      <w:r w:rsidR="00AE1174">
        <w:t>.</w:t>
      </w:r>
      <w:r w:rsidR="00FF1C37">
        <w:t xml:space="preserve"> The tax </w:t>
      </w:r>
      <w:r>
        <w:t xml:space="preserve">may </w:t>
      </w:r>
      <w:r w:rsidR="00FF1C37">
        <w:t>expire earlier if the city so determines by ordinance.</w:t>
      </w:r>
    </w:p>
    <w:p w14:paraId="70D13BA5" w14:textId="77777777" w:rsidR="00FF1C37" w:rsidRDefault="00FF1C37" w:rsidP="00FF1C37">
      <w:pPr>
        <w:pStyle w:val="Header"/>
        <w:tabs>
          <w:tab w:val="left" w:pos="720"/>
        </w:tabs>
      </w:pPr>
    </w:p>
    <w:p w14:paraId="25EA1C55" w14:textId="469253B8" w:rsidR="0044441B" w:rsidRDefault="00FF1C37" w:rsidP="00FF1C37">
      <w:pPr>
        <w:tabs>
          <w:tab w:val="left" w:pos="4050"/>
          <w:tab w:val="left" w:pos="5040"/>
        </w:tabs>
        <w:outlineLvl w:val="0"/>
      </w:pPr>
      <w:r>
        <w:t xml:space="preserve">The </w:t>
      </w:r>
      <w:r w:rsidR="00AC51A9">
        <w:t>bill would have no impact on</w:t>
      </w:r>
      <w:r>
        <w:t xml:space="preserve"> state </w:t>
      </w:r>
      <w:r w:rsidR="00AC51A9">
        <w:t>taxes</w:t>
      </w:r>
      <w:r>
        <w:t>.</w:t>
      </w:r>
    </w:p>
    <w:p w14:paraId="214DB83B" w14:textId="77777777" w:rsidR="00FF1C37" w:rsidRDefault="00FF1C37" w:rsidP="00FF1C37">
      <w:pPr>
        <w:tabs>
          <w:tab w:val="left" w:pos="4050"/>
          <w:tab w:val="left" w:pos="5040"/>
        </w:tabs>
        <w:outlineLvl w:val="0"/>
      </w:pPr>
    </w:p>
    <w:p w14:paraId="756A5EA6" w14:textId="77777777" w:rsidR="00FF1C37" w:rsidRDefault="00FF1C37" w:rsidP="00FF1C37">
      <w:pPr>
        <w:tabs>
          <w:tab w:val="left" w:pos="4050"/>
          <w:tab w:val="left" w:pos="5040"/>
        </w:tabs>
        <w:outlineLvl w:val="0"/>
        <w:rPr>
          <w:b/>
        </w:rPr>
      </w:pPr>
    </w:p>
    <w:p w14:paraId="0CBDECCF" w14:textId="77777777" w:rsidR="00C72CA6" w:rsidRDefault="00C72CA6" w:rsidP="005A5C02">
      <w:pPr>
        <w:tabs>
          <w:tab w:val="left" w:pos="4050"/>
          <w:tab w:val="left" w:pos="5040"/>
        </w:tabs>
        <w:outlineLvl w:val="0"/>
      </w:pPr>
      <w:r>
        <w:tab/>
        <w:t>Source:</w:t>
      </w:r>
      <w:r>
        <w:tab/>
        <w:t>Minnesota Department of Revenue</w:t>
      </w:r>
    </w:p>
    <w:p w14:paraId="6D328741" w14:textId="77777777" w:rsidR="00C72CA6" w:rsidRDefault="00C72CA6" w:rsidP="00803C46">
      <w:pPr>
        <w:tabs>
          <w:tab w:val="left" w:pos="3600"/>
          <w:tab w:val="left" w:pos="5040"/>
        </w:tabs>
      </w:pPr>
      <w:r>
        <w:tab/>
      </w:r>
      <w:r>
        <w:tab/>
        <w:t>Tax Research Division</w:t>
      </w:r>
    </w:p>
    <w:p w14:paraId="467BC272" w14:textId="77777777" w:rsidR="00C72CA6" w:rsidRPr="00C167C3" w:rsidRDefault="00C72CA6" w:rsidP="00803C46">
      <w:pPr>
        <w:tabs>
          <w:tab w:val="left" w:pos="5040"/>
        </w:tabs>
        <w:ind w:left="5040" w:hanging="4680"/>
        <w:rPr>
          <w:sz w:val="22"/>
          <w:szCs w:val="22"/>
        </w:rPr>
      </w:pPr>
      <w:r>
        <w:rPr>
          <w:sz w:val="23"/>
        </w:rPr>
        <w:tab/>
      </w:r>
      <w:hyperlink r:id="rId12" w:history="1">
        <w:r w:rsidR="00803C46" w:rsidRPr="002877B3">
          <w:rPr>
            <w:rStyle w:val="Hyperlink"/>
            <w:sz w:val="22"/>
            <w:szCs w:val="22"/>
          </w:rPr>
          <w:t>www.revenue.state.mn.us/research_stats/Pages/Revenue-Analyses.aspx</w:t>
        </w:r>
      </w:hyperlink>
      <w:r w:rsidR="00182F03">
        <w:rPr>
          <w:sz w:val="22"/>
          <w:szCs w:val="22"/>
        </w:rPr>
        <w:t xml:space="preserve"> </w:t>
      </w:r>
    </w:p>
    <w:p w14:paraId="5827B9CD" w14:textId="77777777" w:rsidR="00AC51A9" w:rsidRDefault="00AC51A9" w:rsidP="00164FDA">
      <w:pPr>
        <w:pStyle w:val="EnvelopeReturn"/>
        <w:tabs>
          <w:tab w:val="left" w:pos="5760"/>
        </w:tabs>
        <w:rPr>
          <w:szCs w:val="22"/>
        </w:rPr>
      </w:pPr>
    </w:p>
    <w:p w14:paraId="14DF76BE" w14:textId="76A2A1D7" w:rsidR="00C72CA6" w:rsidRPr="000840C5" w:rsidRDefault="00164FDA" w:rsidP="00164FDA">
      <w:pPr>
        <w:pStyle w:val="EnvelopeReturn"/>
        <w:tabs>
          <w:tab w:val="left" w:pos="5760"/>
        </w:tabs>
        <w:rPr>
          <w:szCs w:val="22"/>
        </w:rPr>
      </w:pPr>
      <w:r w:rsidRPr="00164FDA">
        <w:rPr>
          <w:szCs w:val="22"/>
        </w:rPr>
        <w:t>sf0041(hf1130)</w:t>
      </w:r>
      <w:r w:rsidR="005376F2">
        <w:rPr>
          <w:szCs w:val="22"/>
        </w:rPr>
        <w:t xml:space="preserve">_1 </w:t>
      </w:r>
      <w:r>
        <w:rPr>
          <w:szCs w:val="22"/>
        </w:rPr>
        <w:t>/</w:t>
      </w:r>
      <w:r w:rsidR="005376F2">
        <w:rPr>
          <w:szCs w:val="22"/>
        </w:rPr>
        <w:t xml:space="preserve"> </w:t>
      </w:r>
      <w:r>
        <w:rPr>
          <w:szCs w:val="22"/>
        </w:rPr>
        <w:t>sd</w:t>
      </w:r>
    </w:p>
    <w:sectPr w:rsidR="00C72CA6" w:rsidRPr="000840C5" w:rsidSect="00430832">
      <w:headerReference w:type="even" r:id="rId13"/>
      <w:headerReference w:type="default" r:id="rId14"/>
      <w:headerReference w:type="first" r:id="rId15"/>
      <w:type w:val="continuous"/>
      <w:pgSz w:w="12240" w:h="15840" w:code="1"/>
      <w:pgMar w:top="360" w:right="1440" w:bottom="36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1DE9B" w14:textId="77777777" w:rsidR="00E54B8E" w:rsidRDefault="00E54B8E">
      <w:r>
        <w:separator/>
      </w:r>
    </w:p>
  </w:endnote>
  <w:endnote w:type="continuationSeparator" w:id="0">
    <w:p w14:paraId="468B8554" w14:textId="77777777" w:rsidR="00E54B8E" w:rsidRDefault="00E5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D6586" w14:textId="77777777" w:rsidR="00B834EA" w:rsidRDefault="00B834EA" w:rsidP="00D25C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2CA2F8" w14:textId="77777777" w:rsidR="00B834EA" w:rsidRDefault="00B834EA" w:rsidP="00D25C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50445" w14:textId="77777777" w:rsidR="00B834EA" w:rsidRDefault="00B834EA" w:rsidP="00D25C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B4092" w14:textId="77777777" w:rsidR="00E54B8E" w:rsidRDefault="00E54B8E">
      <w:r>
        <w:separator/>
      </w:r>
    </w:p>
  </w:footnote>
  <w:footnote w:type="continuationSeparator" w:id="0">
    <w:p w14:paraId="52563716" w14:textId="77777777" w:rsidR="00E54B8E" w:rsidRDefault="00E54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9F2D6" w14:textId="77777777" w:rsidR="00B834EA" w:rsidRDefault="00AC51A9">
    <w:pPr>
      <w:pStyle w:val="Header"/>
      <w:ind w:right="198"/>
    </w:pPr>
    <w:r>
      <w:rPr>
        <w:noProof/>
      </w:rPr>
      <w:object w:dxaOrig="1440" w:dyaOrig="1440" w14:anchorId="184A9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65.6pt;margin-top:0;width:176.3pt;height:10.55pt;z-index:251657216;visibility:visible;mso-wrap-edited:f" o:allowincell="f">
          <v:imagedata r:id="rId1" o:title=""/>
        </v:shape>
        <o:OLEObject Type="Embed" ProgID="Word.Picture.8" ShapeID="_x0000_s2050" DrawAspect="Content" ObjectID="_161252589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A7145" w14:textId="77777777" w:rsidR="00B834EA" w:rsidRDefault="00B834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4C43E" w14:textId="77777777" w:rsidR="00B834EA" w:rsidRDefault="00B834EA" w:rsidP="00FF40EB">
    <w:pPr>
      <w:pStyle w:val="Header"/>
      <w:tabs>
        <w:tab w:val="clear" w:pos="4320"/>
        <w:tab w:val="clear" w:pos="8640"/>
        <w:tab w:val="right" w:pos="9270"/>
      </w:tabs>
    </w:pPr>
  </w:p>
  <w:p w14:paraId="13A93A65" w14:textId="77777777" w:rsidR="00B834EA" w:rsidRDefault="00B834EA" w:rsidP="00FF40EB">
    <w:pPr>
      <w:pStyle w:val="Header"/>
      <w:tabs>
        <w:tab w:val="clear" w:pos="4320"/>
        <w:tab w:val="clear" w:pos="8640"/>
        <w:tab w:val="right" w:pos="9270"/>
      </w:tabs>
    </w:pPr>
    <w:r>
      <w:t>Department of Revenue</w:t>
    </w:r>
    <w:r>
      <w:tab/>
    </w:r>
    <w:r w:rsidR="001529DE">
      <w:t>Month xx, 2017</w:t>
    </w:r>
  </w:p>
  <w:p w14:paraId="5E31ED30" w14:textId="77777777" w:rsidR="00B834EA" w:rsidRPr="00D36088" w:rsidRDefault="00D36088" w:rsidP="00FF40EB">
    <w:pPr>
      <w:rPr>
        <w:b/>
      </w:rPr>
    </w:pPr>
    <w:r>
      <w:t xml:space="preserve">Analysis of </w:t>
    </w:r>
  </w:p>
  <w:p w14:paraId="3C6522A1" w14:textId="77777777" w:rsidR="00B834EA" w:rsidRDefault="00B834EA" w:rsidP="00FF40EB">
    <w:pPr>
      <w:pStyle w:val="Header"/>
      <w:tabs>
        <w:tab w:val="clear" w:pos="4320"/>
        <w:tab w:val="clear" w:pos="8640"/>
      </w:tabs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Arabic  \* MERGEFORMAT </w:instrText>
    </w:r>
    <w:r>
      <w:rPr>
        <w:rStyle w:val="PageNumber"/>
      </w:rPr>
      <w:fldChar w:fldCharType="separate"/>
    </w:r>
    <w:r w:rsidR="00681E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EE4C50" w14:textId="77777777" w:rsidR="00B834EA" w:rsidRDefault="00B834EA" w:rsidP="00FF40EB">
    <w:pPr>
      <w:pStyle w:val="Header"/>
      <w:tabs>
        <w:tab w:val="clear" w:pos="4320"/>
        <w:tab w:val="clear" w:pos="864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48486" w14:textId="77777777" w:rsidR="00B834EA" w:rsidRDefault="00B834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2E0ABF"/>
    <w:multiLevelType w:val="hybridMultilevel"/>
    <w:tmpl w:val="C1C2D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24FED"/>
    <w:multiLevelType w:val="hybridMultilevel"/>
    <w:tmpl w:val="DBBEB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000C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8A5AE5"/>
    <w:multiLevelType w:val="hybridMultilevel"/>
    <w:tmpl w:val="88B88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AB1B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1D7E0F"/>
    <w:multiLevelType w:val="hybridMultilevel"/>
    <w:tmpl w:val="BAE6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mpty"/>
  </w:docVars>
  <w:rsids>
    <w:rsidRoot w:val="001A2F2C"/>
    <w:rsid w:val="0001603E"/>
    <w:rsid w:val="000516D1"/>
    <w:rsid w:val="00052B71"/>
    <w:rsid w:val="00064EF9"/>
    <w:rsid w:val="00065BF7"/>
    <w:rsid w:val="00082BFB"/>
    <w:rsid w:val="000840C5"/>
    <w:rsid w:val="000A782C"/>
    <w:rsid w:val="000B4371"/>
    <w:rsid w:val="000B72DB"/>
    <w:rsid w:val="000C6031"/>
    <w:rsid w:val="000D4743"/>
    <w:rsid w:val="00137758"/>
    <w:rsid w:val="00137AE0"/>
    <w:rsid w:val="001443CF"/>
    <w:rsid w:val="001529DE"/>
    <w:rsid w:val="00164FDA"/>
    <w:rsid w:val="0016502D"/>
    <w:rsid w:val="00166234"/>
    <w:rsid w:val="00182F03"/>
    <w:rsid w:val="001A2F2C"/>
    <w:rsid w:val="001D0ACD"/>
    <w:rsid w:val="001F5F7B"/>
    <w:rsid w:val="00200475"/>
    <w:rsid w:val="002114CA"/>
    <w:rsid w:val="00256243"/>
    <w:rsid w:val="002A3FCF"/>
    <w:rsid w:val="002D4A39"/>
    <w:rsid w:val="002D6641"/>
    <w:rsid w:val="00306FF8"/>
    <w:rsid w:val="00307DDF"/>
    <w:rsid w:val="00312F06"/>
    <w:rsid w:val="00316581"/>
    <w:rsid w:val="0032511D"/>
    <w:rsid w:val="00333ADB"/>
    <w:rsid w:val="00343383"/>
    <w:rsid w:val="00363CE4"/>
    <w:rsid w:val="003765E1"/>
    <w:rsid w:val="00394333"/>
    <w:rsid w:val="003B7105"/>
    <w:rsid w:val="003C1A4B"/>
    <w:rsid w:val="003C1BF3"/>
    <w:rsid w:val="003C75CF"/>
    <w:rsid w:val="003C7662"/>
    <w:rsid w:val="003D0141"/>
    <w:rsid w:val="003D4118"/>
    <w:rsid w:val="003E7A99"/>
    <w:rsid w:val="004120CD"/>
    <w:rsid w:val="0042305B"/>
    <w:rsid w:val="004271C2"/>
    <w:rsid w:val="00430832"/>
    <w:rsid w:val="00434270"/>
    <w:rsid w:val="00435B36"/>
    <w:rsid w:val="00441D69"/>
    <w:rsid w:val="004439F5"/>
    <w:rsid w:val="0044441B"/>
    <w:rsid w:val="004801CE"/>
    <w:rsid w:val="00490464"/>
    <w:rsid w:val="00495CB2"/>
    <w:rsid w:val="004A3502"/>
    <w:rsid w:val="004C510E"/>
    <w:rsid w:val="004D5A76"/>
    <w:rsid w:val="004E3648"/>
    <w:rsid w:val="004F6459"/>
    <w:rsid w:val="00503CBF"/>
    <w:rsid w:val="005165FB"/>
    <w:rsid w:val="0052079C"/>
    <w:rsid w:val="0052256D"/>
    <w:rsid w:val="00523AE5"/>
    <w:rsid w:val="005376F2"/>
    <w:rsid w:val="00540744"/>
    <w:rsid w:val="005866D2"/>
    <w:rsid w:val="0059290E"/>
    <w:rsid w:val="005A5C02"/>
    <w:rsid w:val="005B1AC9"/>
    <w:rsid w:val="005B1FBD"/>
    <w:rsid w:val="0061590C"/>
    <w:rsid w:val="006273C1"/>
    <w:rsid w:val="006300A3"/>
    <w:rsid w:val="0063767D"/>
    <w:rsid w:val="00650B3F"/>
    <w:rsid w:val="00657FC0"/>
    <w:rsid w:val="00661CAB"/>
    <w:rsid w:val="0067194A"/>
    <w:rsid w:val="00681EB8"/>
    <w:rsid w:val="00692AF9"/>
    <w:rsid w:val="006C011A"/>
    <w:rsid w:val="006D24FF"/>
    <w:rsid w:val="006D5D4B"/>
    <w:rsid w:val="006E037E"/>
    <w:rsid w:val="006E3566"/>
    <w:rsid w:val="006E5B26"/>
    <w:rsid w:val="006F3EB2"/>
    <w:rsid w:val="006F7822"/>
    <w:rsid w:val="00701052"/>
    <w:rsid w:val="00702B32"/>
    <w:rsid w:val="007050F9"/>
    <w:rsid w:val="00705403"/>
    <w:rsid w:val="0071011E"/>
    <w:rsid w:val="0072342C"/>
    <w:rsid w:val="007336EC"/>
    <w:rsid w:val="00734BAF"/>
    <w:rsid w:val="007434A3"/>
    <w:rsid w:val="00755010"/>
    <w:rsid w:val="00757E27"/>
    <w:rsid w:val="00762A92"/>
    <w:rsid w:val="00772F4C"/>
    <w:rsid w:val="00777080"/>
    <w:rsid w:val="00782074"/>
    <w:rsid w:val="007D1C27"/>
    <w:rsid w:val="007E73B5"/>
    <w:rsid w:val="00802F01"/>
    <w:rsid w:val="00803C46"/>
    <w:rsid w:val="00823F28"/>
    <w:rsid w:val="008409D3"/>
    <w:rsid w:val="00864608"/>
    <w:rsid w:val="008759D9"/>
    <w:rsid w:val="008E1A68"/>
    <w:rsid w:val="008F026E"/>
    <w:rsid w:val="008F4D81"/>
    <w:rsid w:val="00900C0D"/>
    <w:rsid w:val="00902E9F"/>
    <w:rsid w:val="00932DBD"/>
    <w:rsid w:val="00965594"/>
    <w:rsid w:val="009832B1"/>
    <w:rsid w:val="009969BE"/>
    <w:rsid w:val="009B72B1"/>
    <w:rsid w:val="009B79AA"/>
    <w:rsid w:val="009D247B"/>
    <w:rsid w:val="009D730B"/>
    <w:rsid w:val="009F6473"/>
    <w:rsid w:val="00A407AB"/>
    <w:rsid w:val="00A41F80"/>
    <w:rsid w:val="00A5000D"/>
    <w:rsid w:val="00A532DC"/>
    <w:rsid w:val="00A53912"/>
    <w:rsid w:val="00A72127"/>
    <w:rsid w:val="00A85815"/>
    <w:rsid w:val="00AA6A05"/>
    <w:rsid w:val="00AC0EAD"/>
    <w:rsid w:val="00AC1782"/>
    <w:rsid w:val="00AC51A9"/>
    <w:rsid w:val="00AC6F39"/>
    <w:rsid w:val="00AE1174"/>
    <w:rsid w:val="00AE12A4"/>
    <w:rsid w:val="00B20380"/>
    <w:rsid w:val="00B22E79"/>
    <w:rsid w:val="00B4653D"/>
    <w:rsid w:val="00B61462"/>
    <w:rsid w:val="00B63AF9"/>
    <w:rsid w:val="00B834EA"/>
    <w:rsid w:val="00B93A98"/>
    <w:rsid w:val="00BB1E2E"/>
    <w:rsid w:val="00BB2308"/>
    <w:rsid w:val="00BC1C1E"/>
    <w:rsid w:val="00BC58D0"/>
    <w:rsid w:val="00BD6E05"/>
    <w:rsid w:val="00BE146E"/>
    <w:rsid w:val="00C07CD8"/>
    <w:rsid w:val="00C13141"/>
    <w:rsid w:val="00C1391B"/>
    <w:rsid w:val="00C14624"/>
    <w:rsid w:val="00C167C3"/>
    <w:rsid w:val="00C176CA"/>
    <w:rsid w:val="00C239EA"/>
    <w:rsid w:val="00C248BF"/>
    <w:rsid w:val="00C32F4B"/>
    <w:rsid w:val="00C43995"/>
    <w:rsid w:val="00C623D9"/>
    <w:rsid w:val="00C72CA6"/>
    <w:rsid w:val="00C91336"/>
    <w:rsid w:val="00CC752C"/>
    <w:rsid w:val="00D03ED1"/>
    <w:rsid w:val="00D12936"/>
    <w:rsid w:val="00D25CB9"/>
    <w:rsid w:val="00D31BB5"/>
    <w:rsid w:val="00D33B69"/>
    <w:rsid w:val="00D36088"/>
    <w:rsid w:val="00D44322"/>
    <w:rsid w:val="00D547A2"/>
    <w:rsid w:val="00D5786A"/>
    <w:rsid w:val="00D82FA5"/>
    <w:rsid w:val="00DD56BE"/>
    <w:rsid w:val="00E203E3"/>
    <w:rsid w:val="00E20E14"/>
    <w:rsid w:val="00E51B1C"/>
    <w:rsid w:val="00E54104"/>
    <w:rsid w:val="00E54B8E"/>
    <w:rsid w:val="00E93F2A"/>
    <w:rsid w:val="00E96552"/>
    <w:rsid w:val="00EA5501"/>
    <w:rsid w:val="00EB72D4"/>
    <w:rsid w:val="00EC7129"/>
    <w:rsid w:val="00EF1E62"/>
    <w:rsid w:val="00EF4BE1"/>
    <w:rsid w:val="00F0020E"/>
    <w:rsid w:val="00F257D4"/>
    <w:rsid w:val="00F40C23"/>
    <w:rsid w:val="00F57EA8"/>
    <w:rsid w:val="00F7029F"/>
    <w:rsid w:val="00F715EB"/>
    <w:rsid w:val="00F9461F"/>
    <w:rsid w:val="00FA2906"/>
    <w:rsid w:val="00FC46F9"/>
    <w:rsid w:val="00FD12C9"/>
    <w:rsid w:val="00FD21C1"/>
    <w:rsid w:val="00FE46F5"/>
    <w:rsid w:val="00FF1C37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7E9323E"/>
  <w15:docId w15:val="{64403E62-E670-43BB-AF1C-EE6864C0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42C"/>
    <w:rPr>
      <w:sz w:val="24"/>
    </w:rPr>
  </w:style>
  <w:style w:type="paragraph" w:styleId="Heading1">
    <w:name w:val="heading 1"/>
    <w:basedOn w:val="Normal"/>
    <w:next w:val="Normal"/>
    <w:qFormat/>
    <w:rsid w:val="0072342C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72342C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72342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72342C"/>
    <w:pPr>
      <w:keepNext/>
      <w:ind w:left="57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72342C"/>
    <w:rPr>
      <w:sz w:val="22"/>
    </w:rPr>
  </w:style>
  <w:style w:type="paragraph" w:styleId="BodyText">
    <w:name w:val="Body Text"/>
    <w:basedOn w:val="Normal"/>
    <w:link w:val="BodyTextChar"/>
    <w:rsid w:val="0072342C"/>
    <w:pPr>
      <w:ind w:left="720" w:hanging="720"/>
    </w:pPr>
  </w:style>
  <w:style w:type="paragraph" w:styleId="Header">
    <w:name w:val="header"/>
    <w:basedOn w:val="Normal"/>
    <w:link w:val="HeaderChar"/>
    <w:rsid w:val="007234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342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2342C"/>
    <w:pPr>
      <w:tabs>
        <w:tab w:val="left" w:pos="360"/>
        <w:tab w:val="right" w:pos="4050"/>
        <w:tab w:val="right" w:pos="5310"/>
        <w:tab w:val="right" w:pos="6570"/>
        <w:tab w:val="right" w:pos="7830"/>
        <w:tab w:val="right" w:pos="9090"/>
        <w:tab w:val="right" w:pos="10350"/>
      </w:tabs>
      <w:ind w:left="360"/>
    </w:pPr>
  </w:style>
  <w:style w:type="character" w:styleId="PageNumber">
    <w:name w:val="page number"/>
    <w:basedOn w:val="DefaultParagraphFont"/>
    <w:rsid w:val="0072342C"/>
  </w:style>
  <w:style w:type="paragraph" w:styleId="DocumentMap">
    <w:name w:val="Document Map"/>
    <w:basedOn w:val="Normal"/>
    <w:semiHidden/>
    <w:rsid w:val="0072342C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72342C"/>
    <w:rPr>
      <w:color w:val="0000FF"/>
      <w:u w:val="single"/>
    </w:rPr>
  </w:style>
  <w:style w:type="paragraph" w:styleId="BalloonText">
    <w:name w:val="Balloon Text"/>
    <w:basedOn w:val="Normal"/>
    <w:semiHidden/>
    <w:rsid w:val="00A41F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6E05"/>
    <w:pPr>
      <w:ind w:left="720"/>
      <w:contextualSpacing/>
    </w:pPr>
  </w:style>
  <w:style w:type="character" w:styleId="FollowedHyperlink">
    <w:name w:val="FollowedHyperlink"/>
    <w:basedOn w:val="DefaultParagraphFont"/>
    <w:rsid w:val="00182F03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932DBD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3765E1"/>
    <w:pPr>
      <w:spacing w:before="100" w:beforeAutospacing="1" w:after="100" w:afterAutospacing="1"/>
    </w:pPr>
    <w:rPr>
      <w:rFonts w:eastAsiaTheme="minorEastAsia"/>
      <w:szCs w:val="24"/>
    </w:rPr>
  </w:style>
  <w:style w:type="character" w:customStyle="1" w:styleId="Heading3Char">
    <w:name w:val="Heading 3 Char"/>
    <w:basedOn w:val="DefaultParagraphFont"/>
    <w:link w:val="Heading3"/>
    <w:rsid w:val="00C1391B"/>
    <w:rPr>
      <w:b/>
      <w:sz w:val="24"/>
    </w:rPr>
  </w:style>
  <w:style w:type="character" w:customStyle="1" w:styleId="HeaderChar">
    <w:name w:val="Header Char"/>
    <w:basedOn w:val="DefaultParagraphFont"/>
    <w:link w:val="Header"/>
    <w:rsid w:val="00FF1C3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venue.state.mn.us/research_stats/Pages/Revenue-Analyses.asp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B1C7-E36A-4DDF-B648-5904D48D8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Department of Revenue</Company>
  <LinksUpToDate>false</LinksUpToDate>
  <CharactersWithSpaces>1457</CharactersWithSpaces>
  <SharedDoc>false</SharedDoc>
  <HLinks>
    <vt:vector size="6" baseType="variant">
      <vt:variant>
        <vt:i4>7012384</vt:i4>
      </vt:variant>
      <vt:variant>
        <vt:i4>0</vt:i4>
      </vt:variant>
      <vt:variant>
        <vt:i4>0</vt:i4>
      </vt:variant>
      <vt:variant>
        <vt:i4>5</vt:i4>
      </vt:variant>
      <vt:variant>
        <vt:lpwstr>http://www.taxes.state.mn.us/polic.html</vt:lpwstr>
      </vt:variant>
      <vt:variant>
        <vt:lpwstr>analyses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Weldon</dc:creator>
  <cp:lastModifiedBy>Sanford, Randy (MDOR)</cp:lastModifiedBy>
  <cp:revision>25</cp:revision>
  <cp:lastPrinted>2017-02-07T17:25:00Z</cp:lastPrinted>
  <dcterms:created xsi:type="dcterms:W3CDTF">2019-02-21T15:36:00Z</dcterms:created>
  <dcterms:modified xsi:type="dcterms:W3CDTF">2019-02-24T21:05:00Z</dcterms:modified>
</cp:coreProperties>
</file>